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F7A17" w14:textId="77777777" w:rsidR="008A41FE" w:rsidRPr="00055A61" w:rsidRDefault="008A41FE" w:rsidP="008A41FE">
      <w:pPr>
        <w:rPr>
          <w:b/>
          <w:bCs/>
          <w:sz w:val="36"/>
          <w:szCs w:val="36"/>
        </w:rPr>
      </w:pPr>
      <w:bookmarkStart w:id="0" w:name="_gjdgxs" w:colFirst="0" w:colLast="0"/>
      <w:bookmarkEnd w:id="0"/>
      <w:r w:rsidRPr="00055A61">
        <w:rPr>
          <w:b/>
          <w:bCs/>
          <w:sz w:val="36"/>
          <w:szCs w:val="36"/>
        </w:rPr>
        <w:t xml:space="preserve">A consensus-based and readable extension of </w:t>
      </w:r>
      <w:r w:rsidRPr="00055A61">
        <w:rPr>
          <w:b/>
          <w:bCs/>
          <w:i/>
          <w:sz w:val="36"/>
          <w:szCs w:val="36"/>
        </w:rPr>
        <w:t>Li</w:t>
      </w:r>
      <w:r w:rsidRPr="00055A61">
        <w:rPr>
          <w:b/>
          <w:bCs/>
          <w:sz w:val="36"/>
          <w:szCs w:val="36"/>
        </w:rPr>
        <w:t xml:space="preserve">near </w:t>
      </w:r>
      <w:r w:rsidRPr="00055A61">
        <w:rPr>
          <w:b/>
          <w:bCs/>
          <w:i/>
          <w:sz w:val="36"/>
          <w:szCs w:val="36"/>
        </w:rPr>
        <w:t>Co</w:t>
      </w:r>
      <w:r w:rsidRPr="00055A61">
        <w:rPr>
          <w:b/>
          <w:bCs/>
          <w:sz w:val="36"/>
          <w:szCs w:val="36"/>
        </w:rPr>
        <w:t xml:space="preserve">de for </w:t>
      </w:r>
      <w:r w:rsidRPr="00055A61">
        <w:rPr>
          <w:b/>
          <w:bCs/>
          <w:i/>
          <w:sz w:val="36"/>
          <w:szCs w:val="36"/>
        </w:rPr>
        <w:t>R</w:t>
      </w:r>
      <w:r w:rsidRPr="00055A61">
        <w:rPr>
          <w:b/>
          <w:bCs/>
          <w:sz w:val="36"/>
          <w:szCs w:val="36"/>
        </w:rPr>
        <w:t xml:space="preserve">eaction </w:t>
      </w:r>
      <w:r w:rsidRPr="00055A61">
        <w:rPr>
          <w:b/>
          <w:bCs/>
          <w:i/>
          <w:sz w:val="36"/>
          <w:szCs w:val="36"/>
        </w:rPr>
        <w:t>R</w:t>
      </w:r>
      <w:r w:rsidRPr="00055A61">
        <w:rPr>
          <w:b/>
          <w:bCs/>
          <w:sz w:val="36"/>
          <w:szCs w:val="36"/>
        </w:rPr>
        <w:t>ules (</w:t>
      </w:r>
      <w:proofErr w:type="spellStart"/>
      <w:r w:rsidRPr="00055A61">
        <w:rPr>
          <w:b/>
          <w:bCs/>
          <w:sz w:val="36"/>
          <w:szCs w:val="36"/>
        </w:rPr>
        <w:t>LiCoRR</w:t>
      </w:r>
      <w:proofErr w:type="spellEnd"/>
      <w:r w:rsidRPr="00055A61">
        <w:rPr>
          <w:b/>
          <w:bCs/>
          <w:sz w:val="36"/>
          <w:szCs w:val="36"/>
        </w:rPr>
        <w:t>)</w:t>
      </w:r>
    </w:p>
    <w:p w14:paraId="4CAB7A14" w14:textId="77777777" w:rsidR="008A41FE" w:rsidRPr="00055A61" w:rsidRDefault="008A41FE" w:rsidP="008A41FE">
      <w:pPr>
        <w:spacing w:line="240" w:lineRule="auto"/>
        <w:rPr>
          <w:b/>
        </w:rPr>
      </w:pPr>
    </w:p>
    <w:p w14:paraId="6977342B" w14:textId="77777777" w:rsidR="008A41FE" w:rsidRPr="00055A61" w:rsidRDefault="008A41FE" w:rsidP="008A41FE">
      <w:r w:rsidRPr="00055A61">
        <w:t>Benjamin P. Kellman</w:t>
      </w:r>
      <w:r w:rsidRPr="00055A61">
        <w:rPr>
          <w:vertAlign w:val="superscript"/>
        </w:rPr>
        <w:t>$1,2,3</w:t>
      </w:r>
      <w:r w:rsidRPr="00055A61">
        <w:t xml:space="preserve">, </w:t>
      </w:r>
      <w:proofErr w:type="spellStart"/>
      <w:r w:rsidRPr="00055A61">
        <w:t>Yujie</w:t>
      </w:r>
      <w:proofErr w:type="spellEnd"/>
      <w:r w:rsidRPr="00055A61">
        <w:t xml:space="preserve"> Zhang</w:t>
      </w:r>
      <w:r w:rsidRPr="00055A61">
        <w:rPr>
          <w:vertAlign w:val="superscript"/>
        </w:rPr>
        <w:t>$1,2</w:t>
      </w:r>
      <w:r w:rsidRPr="00055A61">
        <w:t>, Emma Logomasini</w:t>
      </w:r>
      <w:r w:rsidRPr="00055A61">
        <w:rPr>
          <w:vertAlign w:val="superscript"/>
        </w:rPr>
        <w:t>1,2</w:t>
      </w:r>
      <w:r w:rsidRPr="00055A61">
        <w:t>, Eric Meinhardt</w:t>
      </w:r>
      <w:r w:rsidRPr="00055A61">
        <w:rPr>
          <w:vertAlign w:val="superscript"/>
        </w:rPr>
        <w:t>4</w:t>
      </w:r>
      <w:r w:rsidRPr="00055A61">
        <w:t>, Karla P. Godinez-Macias</w:t>
      </w:r>
      <w:r w:rsidRPr="00055A61">
        <w:rPr>
          <w:vertAlign w:val="superscript"/>
        </w:rPr>
        <w:t>1</w:t>
      </w:r>
      <w:r w:rsidRPr="00055A61">
        <w:t>, Austin W. T. Chiang</w:t>
      </w:r>
      <w:r w:rsidRPr="00055A61">
        <w:rPr>
          <w:vertAlign w:val="superscript"/>
        </w:rPr>
        <w:t>1,2</w:t>
      </w:r>
      <w:r w:rsidRPr="00055A61">
        <w:t>, James T. Sorrentino</w:t>
      </w:r>
      <w:r w:rsidRPr="00055A61">
        <w:rPr>
          <w:vertAlign w:val="superscript"/>
        </w:rPr>
        <w:t>1,2,3</w:t>
      </w:r>
      <w:r w:rsidRPr="00055A61">
        <w:t xml:space="preserve">, </w:t>
      </w:r>
      <w:proofErr w:type="spellStart"/>
      <w:r w:rsidRPr="00055A61">
        <w:t>Chenguang</w:t>
      </w:r>
      <w:proofErr w:type="spellEnd"/>
      <w:r w:rsidRPr="00055A61">
        <w:t xml:space="preserve"> Liang</w:t>
      </w:r>
      <w:r w:rsidRPr="00055A61">
        <w:rPr>
          <w:vertAlign w:val="superscript"/>
        </w:rPr>
        <w:t>1,2</w:t>
      </w:r>
      <w:r w:rsidRPr="00055A61">
        <w:t xml:space="preserve">, </w:t>
      </w:r>
      <w:proofErr w:type="spellStart"/>
      <w:r w:rsidRPr="00055A61">
        <w:t>Bokan</w:t>
      </w:r>
      <w:proofErr w:type="spellEnd"/>
      <w:r w:rsidRPr="00055A61">
        <w:t xml:space="preserve"> Bao</w:t>
      </w:r>
      <w:r w:rsidRPr="00055A61">
        <w:rPr>
          <w:vertAlign w:val="superscript"/>
        </w:rPr>
        <w:t>1,2</w:t>
      </w:r>
      <w:r w:rsidRPr="00055A61">
        <w:t>, Yusen Zhou</w:t>
      </w:r>
      <w:r w:rsidRPr="00055A61">
        <w:rPr>
          <w:vertAlign w:val="superscript"/>
        </w:rPr>
        <w:t>5</w:t>
      </w:r>
      <w:r w:rsidRPr="00055A61">
        <w:t>, Sachiko Akase</w:t>
      </w:r>
      <w:r w:rsidRPr="00055A61">
        <w:rPr>
          <w:vertAlign w:val="superscript"/>
        </w:rPr>
        <w:t>6</w:t>
      </w:r>
      <w:r w:rsidRPr="00055A61">
        <w:t xml:space="preserve">, </w:t>
      </w:r>
      <w:proofErr w:type="spellStart"/>
      <w:r w:rsidRPr="00055A61">
        <w:t>Isami</w:t>
      </w:r>
      <w:proofErr w:type="spellEnd"/>
      <w:r w:rsidRPr="00055A61">
        <w:t xml:space="preserve"> Sogabe</w:t>
      </w:r>
      <w:r w:rsidRPr="00055A61">
        <w:rPr>
          <w:vertAlign w:val="superscript"/>
        </w:rPr>
        <w:t>6</w:t>
      </w:r>
      <w:r w:rsidRPr="00055A61">
        <w:t xml:space="preserve">, </w:t>
      </w:r>
      <w:proofErr w:type="spellStart"/>
      <w:r w:rsidRPr="00055A61">
        <w:t>Thukaa</w:t>
      </w:r>
      <w:proofErr w:type="spellEnd"/>
      <w:r w:rsidRPr="00055A61">
        <w:t xml:space="preserve"> Kouka</w:t>
      </w:r>
      <w:r w:rsidRPr="00055A61">
        <w:rPr>
          <w:vertAlign w:val="superscript"/>
        </w:rPr>
        <w:t>6</w:t>
      </w:r>
      <w:r w:rsidRPr="00055A61">
        <w:t xml:space="preserve">, </w:t>
      </w:r>
      <w:r w:rsidRPr="00055A61">
        <w:rPr>
          <w:color w:val="222222"/>
        </w:rPr>
        <w:t>Elizabeth A Winzeler</w:t>
      </w:r>
      <w:r w:rsidRPr="00055A61">
        <w:rPr>
          <w:vertAlign w:val="superscript"/>
        </w:rPr>
        <w:t>1</w:t>
      </w:r>
      <w:r w:rsidRPr="00055A61">
        <w:rPr>
          <w:color w:val="222222"/>
          <w:sz w:val="20"/>
          <w:szCs w:val="20"/>
        </w:rPr>
        <w:t xml:space="preserve">, </w:t>
      </w:r>
      <w:r w:rsidRPr="00055A61">
        <w:t>Iain B.H. Wilson</w:t>
      </w:r>
      <w:r w:rsidRPr="00055A61">
        <w:rPr>
          <w:vertAlign w:val="superscript"/>
        </w:rPr>
        <w:t>7,8</w:t>
      </w:r>
      <w:r w:rsidRPr="00055A61">
        <w:t>, Matthew P. Campbell</w:t>
      </w:r>
      <w:r w:rsidRPr="00055A61">
        <w:rPr>
          <w:vertAlign w:val="superscript"/>
        </w:rPr>
        <w:t>7,9</w:t>
      </w:r>
      <w:r w:rsidRPr="00055A61">
        <w:t xml:space="preserve">, </w:t>
      </w:r>
      <w:proofErr w:type="spellStart"/>
      <w:r w:rsidRPr="00055A61">
        <w:t>Sriram</w:t>
      </w:r>
      <w:proofErr w:type="spellEnd"/>
      <w:r w:rsidRPr="00055A61">
        <w:t xml:space="preserve"> Neelamegham</w:t>
      </w:r>
      <w:r w:rsidRPr="00055A61">
        <w:rPr>
          <w:vertAlign w:val="superscript"/>
        </w:rPr>
        <w:t>5,7</w:t>
      </w:r>
      <w:r w:rsidRPr="00055A61">
        <w:t>, Frederick J. Krambeck</w:t>
      </w:r>
      <w:r w:rsidRPr="00055A61">
        <w:rPr>
          <w:vertAlign w:val="superscript"/>
        </w:rPr>
        <w:t>7,10,11</w:t>
      </w:r>
      <w:r w:rsidRPr="00055A61">
        <w:t>, Kiyoko F. Aoki-Kinoshita</w:t>
      </w:r>
      <w:r w:rsidRPr="00055A61">
        <w:rPr>
          <w:vertAlign w:val="superscript"/>
        </w:rPr>
        <w:t>6,7,12</w:t>
      </w:r>
      <w:r w:rsidRPr="00055A61">
        <w:t xml:space="preserve">, </w:t>
      </w:r>
      <w:r>
        <w:t xml:space="preserve">and </w:t>
      </w:r>
      <w:r w:rsidRPr="00055A61">
        <w:t>Nathan E. Lewis</w:t>
      </w:r>
      <w:r>
        <w:rPr>
          <w:vertAlign w:val="superscript"/>
        </w:rPr>
        <w:t>*</w:t>
      </w:r>
      <w:r w:rsidRPr="00055A61">
        <w:rPr>
          <w:vertAlign w:val="superscript"/>
        </w:rPr>
        <w:t xml:space="preserve">,1,2,3,7,13 </w:t>
      </w:r>
    </w:p>
    <w:p w14:paraId="1D194CD6" w14:textId="77777777" w:rsidR="008A41FE" w:rsidRPr="00055A61" w:rsidRDefault="008A41FE" w:rsidP="008A41FE"/>
    <w:p w14:paraId="6EA560D7" w14:textId="77777777" w:rsidR="008A41FE" w:rsidRPr="00055A61" w:rsidRDefault="008A41FE" w:rsidP="008A41FE">
      <w:r w:rsidRPr="00055A61">
        <w:t xml:space="preserve">Address: </w:t>
      </w:r>
      <w:r w:rsidRPr="00055A61">
        <w:rPr>
          <w:vertAlign w:val="superscript"/>
        </w:rPr>
        <w:t>1</w:t>
      </w:r>
      <w:r w:rsidRPr="00055A61">
        <w:t xml:space="preserve">Department of Pediatrics, University of California San Diego School of Medicine, 9500 Gilman </w:t>
      </w:r>
      <w:proofErr w:type="spellStart"/>
      <w:r w:rsidRPr="00055A61">
        <w:t>Dr</w:t>
      </w:r>
      <w:proofErr w:type="spellEnd"/>
      <w:r w:rsidRPr="00055A61">
        <w:t xml:space="preserve">, La Jolla, California, USA 92093, </w:t>
      </w:r>
      <w:r w:rsidRPr="00055A61">
        <w:rPr>
          <w:vertAlign w:val="superscript"/>
        </w:rPr>
        <w:t>2</w:t>
      </w:r>
      <w:r w:rsidRPr="00055A61">
        <w:t xml:space="preserve">Department of Bioengineering, University of California San Diego School of Engineering, 9500 Gilman </w:t>
      </w:r>
      <w:proofErr w:type="spellStart"/>
      <w:r w:rsidRPr="00055A61">
        <w:t>Dr</w:t>
      </w:r>
      <w:proofErr w:type="spellEnd"/>
      <w:r w:rsidRPr="00055A61">
        <w:t xml:space="preserve">, La Jolla, California, USA 92093, </w:t>
      </w:r>
      <w:r w:rsidRPr="00055A61">
        <w:rPr>
          <w:vertAlign w:val="superscript"/>
        </w:rPr>
        <w:t>3</w:t>
      </w:r>
      <w:r w:rsidRPr="00055A61">
        <w:t xml:space="preserve">Bioinformatics and Systems Biology Program, University of California San Diego School of Engineering, 9500 Gilman </w:t>
      </w:r>
      <w:proofErr w:type="spellStart"/>
      <w:r w:rsidRPr="00055A61">
        <w:t>Dr</w:t>
      </w:r>
      <w:proofErr w:type="spellEnd"/>
      <w:r w:rsidRPr="00055A61">
        <w:t xml:space="preserve">, La Jolla, California, USA 92093, </w:t>
      </w:r>
      <w:r w:rsidRPr="00055A61">
        <w:rPr>
          <w:vertAlign w:val="superscript"/>
        </w:rPr>
        <w:t>4</w:t>
      </w:r>
      <w:r w:rsidRPr="00055A61">
        <w:t xml:space="preserve">Department of Linguistics, University of California San Diego, 9500 Gilman </w:t>
      </w:r>
      <w:proofErr w:type="spellStart"/>
      <w:r w:rsidRPr="00055A61">
        <w:t>Dr</w:t>
      </w:r>
      <w:proofErr w:type="spellEnd"/>
      <w:r w:rsidRPr="00055A61">
        <w:t xml:space="preserve">, La Jolla, California, USA 92093, </w:t>
      </w:r>
      <w:r w:rsidRPr="00055A61">
        <w:rPr>
          <w:vertAlign w:val="superscript"/>
        </w:rPr>
        <w:t>5</w:t>
      </w:r>
      <w:r w:rsidRPr="00055A61">
        <w:t xml:space="preserve">Department of Chemical and Biological Engineering School of Engineering and Applied Sciences, State University of New York, University at Buffalo, 303 Furnas Hall, Buffalo, New York, USA 14260-4200, </w:t>
      </w:r>
      <w:r w:rsidRPr="00055A61">
        <w:rPr>
          <w:vertAlign w:val="superscript"/>
        </w:rPr>
        <w:t>6</w:t>
      </w:r>
      <w:r w:rsidRPr="00055A61">
        <w:t xml:space="preserve">Graduate School of Engineering, </w:t>
      </w:r>
      <w:proofErr w:type="spellStart"/>
      <w:r w:rsidRPr="00055A61">
        <w:t>Soka</w:t>
      </w:r>
      <w:proofErr w:type="spellEnd"/>
      <w:r w:rsidRPr="00055A61">
        <w:t xml:space="preserve"> University, 1-236 </w:t>
      </w:r>
      <w:proofErr w:type="spellStart"/>
      <w:r w:rsidRPr="00055A61">
        <w:t>Tangi-machi</w:t>
      </w:r>
      <w:proofErr w:type="spellEnd"/>
      <w:r w:rsidRPr="00055A61">
        <w:t>, Hachioji-</w:t>
      </w:r>
      <w:proofErr w:type="spellStart"/>
      <w:r w:rsidRPr="00055A61">
        <w:t>shi</w:t>
      </w:r>
      <w:proofErr w:type="spellEnd"/>
      <w:r w:rsidRPr="00055A61">
        <w:t xml:space="preserve">, Tokyo, Japan, </w:t>
      </w:r>
      <w:r w:rsidRPr="00055A61">
        <w:rPr>
          <w:vertAlign w:val="superscript"/>
        </w:rPr>
        <w:t>7</w:t>
      </w:r>
      <w:r w:rsidRPr="00055A61">
        <w:t xml:space="preserve">Systems </w:t>
      </w:r>
      <w:proofErr w:type="spellStart"/>
      <w:r w:rsidRPr="00055A61">
        <w:t>Glycobiology</w:t>
      </w:r>
      <w:proofErr w:type="spellEnd"/>
      <w:r w:rsidRPr="00055A61">
        <w:t xml:space="preserve"> Consortium, </w:t>
      </w:r>
      <w:r w:rsidRPr="00055A61">
        <w:rPr>
          <w:vertAlign w:val="superscript"/>
        </w:rPr>
        <w:t>8</w:t>
      </w:r>
      <w:r w:rsidRPr="00055A61">
        <w:t xml:space="preserve">Institute of Biochemistry, University of Natural Resources and Life Sciences, </w:t>
      </w:r>
      <w:proofErr w:type="spellStart"/>
      <w:r w:rsidRPr="00055A61">
        <w:t>Gregor</w:t>
      </w:r>
      <w:proofErr w:type="spellEnd"/>
      <w:r w:rsidRPr="00055A61">
        <w:t>-Mendel-</w:t>
      </w:r>
      <w:proofErr w:type="spellStart"/>
      <w:r w:rsidRPr="00055A61">
        <w:t>Straße</w:t>
      </w:r>
      <w:proofErr w:type="spellEnd"/>
      <w:r w:rsidRPr="00055A61">
        <w:t xml:space="preserve"> 33, 1180 Vienna, Austria, </w:t>
      </w:r>
      <w:r w:rsidRPr="00055A61">
        <w:rPr>
          <w:vertAlign w:val="superscript"/>
        </w:rPr>
        <w:t>9</w:t>
      </w:r>
      <w:r w:rsidRPr="00055A61">
        <w:t xml:space="preserve">Institute for </w:t>
      </w:r>
      <w:proofErr w:type="spellStart"/>
      <w:r w:rsidRPr="00055A61">
        <w:t>Glycomics</w:t>
      </w:r>
      <w:proofErr w:type="spellEnd"/>
      <w:r w:rsidRPr="00055A61">
        <w:t xml:space="preserve">, Griffith University, </w:t>
      </w:r>
      <w:proofErr w:type="spellStart"/>
      <w:r w:rsidRPr="00055A61">
        <w:t>Glycomics</w:t>
      </w:r>
      <w:proofErr w:type="spellEnd"/>
      <w:r w:rsidRPr="00055A61">
        <w:t xml:space="preserve"> 1, G26/1 Parklands </w:t>
      </w:r>
      <w:proofErr w:type="spellStart"/>
      <w:r w:rsidRPr="00055A61">
        <w:t>Dr</w:t>
      </w:r>
      <w:proofErr w:type="spellEnd"/>
      <w:r w:rsidRPr="00055A61">
        <w:t xml:space="preserve">, Southport QLD 4215, Australia, </w:t>
      </w:r>
      <w:r w:rsidRPr="00055A61">
        <w:rPr>
          <w:vertAlign w:val="superscript"/>
        </w:rPr>
        <w:t>10</w:t>
      </w:r>
      <w:r w:rsidRPr="00055A61">
        <w:t xml:space="preserve">Department of Chemical and </w:t>
      </w:r>
      <w:proofErr w:type="spellStart"/>
      <w:r w:rsidRPr="00055A61">
        <w:t>Biomolecular</w:t>
      </w:r>
      <w:proofErr w:type="spellEnd"/>
      <w:r w:rsidRPr="00055A61">
        <w:t xml:space="preserve"> Engineering, Johns Hopkins University, 3400 North Charles Street, Baltimore, Maryland 21218, United States of America, </w:t>
      </w:r>
      <w:r w:rsidRPr="00055A61">
        <w:rPr>
          <w:vertAlign w:val="superscript"/>
        </w:rPr>
        <w:t>11</w:t>
      </w:r>
      <w:r w:rsidRPr="00055A61">
        <w:t xml:space="preserve">ReacTech Inc., 810 Cameron St, Alexandria, Virginia, USA 22314, </w:t>
      </w:r>
      <w:r w:rsidRPr="00055A61">
        <w:rPr>
          <w:vertAlign w:val="superscript"/>
        </w:rPr>
        <w:t>12</w:t>
      </w:r>
      <w:r w:rsidRPr="00055A61">
        <w:t xml:space="preserve">Faculty of Science and Engineering, </w:t>
      </w:r>
      <w:proofErr w:type="spellStart"/>
      <w:r w:rsidRPr="00055A61">
        <w:t>Soka</w:t>
      </w:r>
      <w:proofErr w:type="spellEnd"/>
      <w:r w:rsidRPr="00055A61">
        <w:t xml:space="preserve"> University, 1-236 </w:t>
      </w:r>
      <w:proofErr w:type="spellStart"/>
      <w:r w:rsidRPr="00055A61">
        <w:t>Tangi-machi</w:t>
      </w:r>
      <w:proofErr w:type="spellEnd"/>
      <w:r w:rsidRPr="00055A61">
        <w:t>, Hachioji-</w:t>
      </w:r>
      <w:proofErr w:type="spellStart"/>
      <w:r w:rsidRPr="00055A61">
        <w:t>shi</w:t>
      </w:r>
      <w:proofErr w:type="spellEnd"/>
      <w:r w:rsidRPr="00055A61">
        <w:t xml:space="preserve">, Tokyo, Japan, and </w:t>
      </w:r>
      <w:r w:rsidRPr="00055A61">
        <w:rPr>
          <w:vertAlign w:val="superscript"/>
        </w:rPr>
        <w:t>13</w:t>
      </w:r>
      <w:r w:rsidRPr="00055A61">
        <w:t xml:space="preserve">Novo Nordisk Foundation Center for </w:t>
      </w:r>
      <w:proofErr w:type="spellStart"/>
      <w:r w:rsidRPr="00055A61">
        <w:t>Biosustainability</w:t>
      </w:r>
      <w:proofErr w:type="spellEnd"/>
      <w:r w:rsidRPr="00055A61">
        <w:t xml:space="preserve"> at the University of California San Diego School of Medicine, 9500 Gilman Dr. La Jolla, California USA 92093 </w:t>
      </w:r>
    </w:p>
    <w:p w14:paraId="598113A9" w14:textId="77777777" w:rsidR="008A41FE" w:rsidRPr="00055A61" w:rsidRDefault="008A41FE" w:rsidP="008A41FE"/>
    <w:p w14:paraId="47DC2877" w14:textId="77777777" w:rsidR="008A41FE" w:rsidRPr="00055A61" w:rsidRDefault="008A41FE" w:rsidP="008A41FE">
      <w:r w:rsidRPr="00055A61">
        <w:t>Email: Nathan E. Lewis - nlewisres@ucsd.edu</w:t>
      </w:r>
    </w:p>
    <w:p w14:paraId="6409308D" w14:textId="77777777" w:rsidR="008A41FE" w:rsidRPr="00055A61" w:rsidRDefault="008A41FE" w:rsidP="008A41FE">
      <w:r w:rsidRPr="00055A61">
        <w:t xml:space="preserve">*Corresponding author </w:t>
      </w:r>
    </w:p>
    <w:p w14:paraId="4F986A76" w14:textId="77777777" w:rsidR="008A41FE" w:rsidRPr="00055A61" w:rsidRDefault="008A41FE" w:rsidP="008A41FE">
      <w:r w:rsidRPr="00055A61">
        <w:rPr>
          <w:vertAlign w:val="superscript"/>
        </w:rPr>
        <w:t>$</w:t>
      </w:r>
      <w:r w:rsidRPr="00055A61">
        <w:t>Equally contributing authors</w:t>
      </w:r>
    </w:p>
    <w:p w14:paraId="4B14E0C1" w14:textId="1CDE910E" w:rsidR="00D33C05" w:rsidRPr="00055A61" w:rsidRDefault="00D33C05" w:rsidP="00D33C05">
      <w:bookmarkStart w:id="1" w:name="_GoBack"/>
      <w:bookmarkEnd w:id="1"/>
    </w:p>
    <w:p w14:paraId="00000014" w14:textId="18E9BB57" w:rsidR="00555290" w:rsidRDefault="00EC67E9">
      <w:r>
        <w:br w:type="page"/>
      </w:r>
    </w:p>
    <w:p w14:paraId="00000015" w14:textId="77777777" w:rsidR="00555290" w:rsidRDefault="00555290"/>
    <w:sdt>
      <w:sdtPr>
        <w:id w:val="-2123603848"/>
        <w:docPartObj>
          <w:docPartGallery w:val="Table of Contents"/>
          <w:docPartUnique/>
        </w:docPartObj>
      </w:sdtPr>
      <w:sdtEndPr/>
      <w:sdtContent>
        <w:p w14:paraId="25A516AE" w14:textId="586C2CFC" w:rsidR="00881766" w:rsidRDefault="00EC67E9">
          <w:pPr>
            <w:pStyle w:val="Verzeichnis1"/>
            <w:tabs>
              <w:tab w:val="right" w:pos="9350"/>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47040120" w:history="1">
            <w:r w:rsidR="00881766" w:rsidRPr="006F3AF4">
              <w:rPr>
                <w:rStyle w:val="Hyperlink"/>
                <w:noProof/>
              </w:rPr>
              <w:t>Supporting Tables</w:t>
            </w:r>
            <w:r w:rsidR="00881766">
              <w:rPr>
                <w:noProof/>
                <w:webHidden/>
              </w:rPr>
              <w:tab/>
            </w:r>
            <w:r w:rsidR="00881766">
              <w:rPr>
                <w:noProof/>
                <w:webHidden/>
              </w:rPr>
              <w:fldChar w:fldCharType="begin"/>
            </w:r>
            <w:r w:rsidR="00881766">
              <w:rPr>
                <w:noProof/>
                <w:webHidden/>
              </w:rPr>
              <w:instrText xml:space="preserve"> PAGEREF _Toc47040120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4963E881" w14:textId="5BD875F3" w:rsidR="00881766" w:rsidRDefault="008A41FE">
          <w:pPr>
            <w:pStyle w:val="Verzeichnis2"/>
            <w:tabs>
              <w:tab w:val="right" w:pos="9350"/>
            </w:tabs>
            <w:rPr>
              <w:rFonts w:asciiTheme="minorHAnsi" w:eastAsiaTheme="minorEastAsia" w:hAnsiTheme="minorHAnsi" w:cstheme="minorBidi"/>
              <w:noProof/>
              <w:lang w:val="en-US"/>
            </w:rPr>
          </w:pPr>
          <w:hyperlink w:anchor="_Toc47040121" w:history="1">
            <w:r w:rsidR="00881766" w:rsidRPr="006F3AF4">
              <w:rPr>
                <w:rStyle w:val="Hyperlink"/>
                <w:noProof/>
              </w:rPr>
              <w:t>Table S1 - All position combination F(E(D)(C)B)A</w:t>
            </w:r>
            <w:r w:rsidR="00881766">
              <w:rPr>
                <w:noProof/>
                <w:webHidden/>
              </w:rPr>
              <w:tab/>
            </w:r>
            <w:r w:rsidR="00881766">
              <w:rPr>
                <w:noProof/>
                <w:webHidden/>
              </w:rPr>
              <w:fldChar w:fldCharType="begin"/>
            </w:r>
            <w:r w:rsidR="00881766">
              <w:rPr>
                <w:noProof/>
                <w:webHidden/>
              </w:rPr>
              <w:instrText xml:space="preserve"> PAGEREF _Toc47040121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18DB67CB" w14:textId="1C3897CC" w:rsidR="00881766" w:rsidRDefault="008A41FE">
          <w:pPr>
            <w:pStyle w:val="Verzeichnis2"/>
            <w:tabs>
              <w:tab w:val="right" w:pos="9350"/>
            </w:tabs>
            <w:rPr>
              <w:rFonts w:asciiTheme="minorHAnsi" w:eastAsiaTheme="minorEastAsia" w:hAnsiTheme="minorHAnsi" w:cstheme="minorBidi"/>
              <w:noProof/>
              <w:lang w:val="en-US"/>
            </w:rPr>
          </w:pPr>
          <w:hyperlink w:anchor="_Toc47040122" w:history="1">
            <w:r w:rsidR="00881766" w:rsidRPr="006F3AF4">
              <w:rPr>
                <w:rStyle w:val="Hyperlink"/>
                <w:noProof/>
              </w:rPr>
              <w:t>Table S2 - All Reaction Rules Sets Examined in this manuscript</w:t>
            </w:r>
            <w:r w:rsidR="00881766">
              <w:rPr>
                <w:noProof/>
                <w:webHidden/>
              </w:rPr>
              <w:tab/>
            </w:r>
            <w:r w:rsidR="00881766">
              <w:rPr>
                <w:noProof/>
                <w:webHidden/>
              </w:rPr>
              <w:fldChar w:fldCharType="begin"/>
            </w:r>
            <w:r w:rsidR="00881766">
              <w:rPr>
                <w:noProof/>
                <w:webHidden/>
              </w:rPr>
              <w:instrText xml:space="preserve"> PAGEREF _Toc47040122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3429A2CD" w14:textId="28A5D14D" w:rsidR="00881766" w:rsidRDefault="008A41FE">
          <w:pPr>
            <w:pStyle w:val="Verzeichnis2"/>
            <w:tabs>
              <w:tab w:val="right" w:pos="9350"/>
            </w:tabs>
            <w:rPr>
              <w:rFonts w:asciiTheme="minorHAnsi" w:eastAsiaTheme="minorEastAsia" w:hAnsiTheme="minorHAnsi" w:cstheme="minorBidi"/>
              <w:noProof/>
              <w:lang w:val="en-US"/>
            </w:rPr>
          </w:pPr>
          <w:hyperlink w:anchor="_Toc47040123" w:history="1">
            <w:r w:rsidR="00881766" w:rsidRPr="006F3AF4">
              <w:rPr>
                <w:rStyle w:val="Hyperlink"/>
                <w:noProof/>
              </w:rPr>
              <w:t>Table S3 - Wildcard Checker</w:t>
            </w:r>
            <w:r w:rsidR="00881766">
              <w:rPr>
                <w:noProof/>
                <w:webHidden/>
              </w:rPr>
              <w:tab/>
            </w:r>
            <w:r w:rsidR="00881766">
              <w:rPr>
                <w:noProof/>
                <w:webHidden/>
              </w:rPr>
              <w:fldChar w:fldCharType="begin"/>
            </w:r>
            <w:r w:rsidR="00881766">
              <w:rPr>
                <w:noProof/>
                <w:webHidden/>
              </w:rPr>
              <w:instrText xml:space="preserve"> PAGEREF _Toc47040123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3C5753F6" w14:textId="398CA184" w:rsidR="00881766" w:rsidRDefault="008A41FE">
          <w:pPr>
            <w:pStyle w:val="Verzeichnis2"/>
            <w:tabs>
              <w:tab w:val="right" w:pos="9350"/>
            </w:tabs>
            <w:rPr>
              <w:rFonts w:asciiTheme="minorHAnsi" w:eastAsiaTheme="minorEastAsia" w:hAnsiTheme="minorHAnsi" w:cstheme="minorBidi"/>
              <w:noProof/>
              <w:lang w:val="en-US"/>
            </w:rPr>
          </w:pPr>
          <w:hyperlink w:anchor="_Toc47040124" w:history="1">
            <w:r w:rsidR="00881766" w:rsidRPr="006F3AF4">
              <w:rPr>
                <w:rStyle w:val="Hyperlink"/>
                <w:noProof/>
              </w:rPr>
              <w:t>Table S4 - Computational Illustration of Uncertainty Operator Matches</w:t>
            </w:r>
            <w:r w:rsidR="00881766">
              <w:rPr>
                <w:noProof/>
                <w:webHidden/>
              </w:rPr>
              <w:tab/>
            </w:r>
            <w:r w:rsidR="00881766">
              <w:rPr>
                <w:noProof/>
                <w:webHidden/>
              </w:rPr>
              <w:fldChar w:fldCharType="begin"/>
            </w:r>
            <w:r w:rsidR="00881766">
              <w:rPr>
                <w:noProof/>
                <w:webHidden/>
              </w:rPr>
              <w:instrText xml:space="preserve"> PAGEREF _Toc47040124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7D3CD4C3" w14:textId="7F8496B3" w:rsidR="00881766" w:rsidRDefault="008A41FE">
          <w:pPr>
            <w:pStyle w:val="Verzeichnis2"/>
            <w:tabs>
              <w:tab w:val="right" w:pos="9350"/>
            </w:tabs>
            <w:rPr>
              <w:rFonts w:asciiTheme="minorHAnsi" w:eastAsiaTheme="minorEastAsia" w:hAnsiTheme="minorHAnsi" w:cstheme="minorBidi"/>
              <w:noProof/>
              <w:lang w:val="en-US"/>
            </w:rPr>
          </w:pPr>
          <w:hyperlink w:anchor="_Toc47040125" w:history="1">
            <w:r w:rsidR="00881766" w:rsidRPr="006F3AF4">
              <w:rPr>
                <w:rStyle w:val="Hyperlink"/>
                <w:noProof/>
              </w:rPr>
              <w:t>Table S5 – Reaction rules in Linear Code, LiCoRR and LiCoRRICE</w:t>
            </w:r>
            <w:r w:rsidR="00881766">
              <w:rPr>
                <w:noProof/>
                <w:webHidden/>
              </w:rPr>
              <w:tab/>
            </w:r>
            <w:r w:rsidR="00881766">
              <w:rPr>
                <w:noProof/>
                <w:webHidden/>
              </w:rPr>
              <w:fldChar w:fldCharType="begin"/>
            </w:r>
            <w:r w:rsidR="00881766">
              <w:rPr>
                <w:noProof/>
                <w:webHidden/>
              </w:rPr>
              <w:instrText xml:space="preserve"> PAGEREF _Toc47040125 \h </w:instrText>
            </w:r>
            <w:r w:rsidR="00881766">
              <w:rPr>
                <w:noProof/>
                <w:webHidden/>
              </w:rPr>
            </w:r>
            <w:r w:rsidR="00881766">
              <w:rPr>
                <w:noProof/>
                <w:webHidden/>
              </w:rPr>
              <w:fldChar w:fldCharType="separate"/>
            </w:r>
            <w:r w:rsidR="00881766">
              <w:rPr>
                <w:noProof/>
                <w:webHidden/>
              </w:rPr>
              <w:t>3</w:t>
            </w:r>
            <w:r w:rsidR="00881766">
              <w:rPr>
                <w:noProof/>
                <w:webHidden/>
              </w:rPr>
              <w:fldChar w:fldCharType="end"/>
            </w:r>
          </w:hyperlink>
        </w:p>
        <w:p w14:paraId="21BB3939" w14:textId="2F1D7E28" w:rsidR="00881766" w:rsidRDefault="008A41FE">
          <w:pPr>
            <w:pStyle w:val="Verzeichnis2"/>
            <w:tabs>
              <w:tab w:val="right" w:pos="9350"/>
            </w:tabs>
            <w:rPr>
              <w:rFonts w:asciiTheme="minorHAnsi" w:eastAsiaTheme="minorEastAsia" w:hAnsiTheme="minorHAnsi" w:cstheme="minorBidi"/>
              <w:noProof/>
              <w:lang w:val="en-US"/>
            </w:rPr>
          </w:pPr>
          <w:hyperlink w:anchor="_Toc47040126" w:history="1">
            <w:r w:rsidR="00881766" w:rsidRPr="006F3AF4">
              <w:rPr>
                <w:rStyle w:val="Hyperlink"/>
                <w:noProof/>
              </w:rPr>
              <w:t>Table S6 – Monosaccharide-Functional Group Network Analysis</w:t>
            </w:r>
            <w:r w:rsidR="00881766">
              <w:rPr>
                <w:noProof/>
                <w:webHidden/>
              </w:rPr>
              <w:tab/>
            </w:r>
            <w:r w:rsidR="00881766">
              <w:rPr>
                <w:noProof/>
                <w:webHidden/>
              </w:rPr>
              <w:fldChar w:fldCharType="begin"/>
            </w:r>
            <w:r w:rsidR="00881766">
              <w:rPr>
                <w:noProof/>
                <w:webHidden/>
              </w:rPr>
              <w:instrText xml:space="preserve"> PAGEREF _Toc47040126 \h </w:instrText>
            </w:r>
            <w:r w:rsidR="00881766">
              <w:rPr>
                <w:noProof/>
                <w:webHidden/>
              </w:rPr>
            </w:r>
            <w:r w:rsidR="00881766">
              <w:rPr>
                <w:noProof/>
                <w:webHidden/>
              </w:rPr>
              <w:fldChar w:fldCharType="separate"/>
            </w:r>
            <w:r w:rsidR="00881766">
              <w:rPr>
                <w:noProof/>
                <w:webHidden/>
              </w:rPr>
              <w:t>4</w:t>
            </w:r>
            <w:r w:rsidR="00881766">
              <w:rPr>
                <w:noProof/>
                <w:webHidden/>
              </w:rPr>
              <w:fldChar w:fldCharType="end"/>
            </w:r>
          </w:hyperlink>
        </w:p>
        <w:p w14:paraId="268F0744" w14:textId="16B0E1CA" w:rsidR="00881766" w:rsidRDefault="008A41FE">
          <w:pPr>
            <w:pStyle w:val="Verzeichnis1"/>
            <w:tabs>
              <w:tab w:val="right" w:pos="9350"/>
            </w:tabs>
            <w:rPr>
              <w:rFonts w:asciiTheme="minorHAnsi" w:eastAsiaTheme="minorEastAsia" w:hAnsiTheme="minorHAnsi" w:cstheme="minorBidi"/>
              <w:noProof/>
              <w:lang w:val="en-US"/>
            </w:rPr>
          </w:pPr>
          <w:hyperlink w:anchor="_Toc47040127" w:history="1">
            <w:r w:rsidR="00881766" w:rsidRPr="006F3AF4">
              <w:rPr>
                <w:rStyle w:val="Hyperlink"/>
                <w:noProof/>
              </w:rPr>
              <w:t>Supporting Software: gRegEx</w:t>
            </w:r>
            <w:r w:rsidR="00881766">
              <w:rPr>
                <w:noProof/>
                <w:webHidden/>
              </w:rPr>
              <w:tab/>
            </w:r>
            <w:r w:rsidR="00881766">
              <w:rPr>
                <w:noProof/>
                <w:webHidden/>
              </w:rPr>
              <w:fldChar w:fldCharType="begin"/>
            </w:r>
            <w:r w:rsidR="00881766">
              <w:rPr>
                <w:noProof/>
                <w:webHidden/>
              </w:rPr>
              <w:instrText xml:space="preserve"> PAGEREF _Toc47040127 \h </w:instrText>
            </w:r>
            <w:r w:rsidR="00881766">
              <w:rPr>
                <w:noProof/>
                <w:webHidden/>
              </w:rPr>
            </w:r>
            <w:r w:rsidR="00881766">
              <w:rPr>
                <w:noProof/>
                <w:webHidden/>
              </w:rPr>
              <w:fldChar w:fldCharType="separate"/>
            </w:r>
            <w:r w:rsidR="00881766">
              <w:rPr>
                <w:noProof/>
                <w:webHidden/>
              </w:rPr>
              <w:t>4</w:t>
            </w:r>
            <w:r w:rsidR="00881766">
              <w:rPr>
                <w:noProof/>
                <w:webHidden/>
              </w:rPr>
              <w:fldChar w:fldCharType="end"/>
            </w:r>
          </w:hyperlink>
        </w:p>
        <w:p w14:paraId="58168116" w14:textId="71E60380" w:rsidR="00881766" w:rsidRDefault="008A41FE">
          <w:pPr>
            <w:pStyle w:val="Verzeichnis2"/>
            <w:tabs>
              <w:tab w:val="right" w:pos="9350"/>
            </w:tabs>
            <w:rPr>
              <w:rFonts w:asciiTheme="minorHAnsi" w:eastAsiaTheme="minorEastAsia" w:hAnsiTheme="minorHAnsi" w:cstheme="minorBidi"/>
              <w:noProof/>
              <w:lang w:val="en-US"/>
            </w:rPr>
          </w:pPr>
          <w:hyperlink w:anchor="_Toc47040128" w:history="1">
            <w:r w:rsidR="00881766" w:rsidRPr="006F3AF4">
              <w:rPr>
                <w:rStyle w:val="Hyperlink"/>
                <w:noProof/>
              </w:rPr>
              <w:t>Checking syntactic well-formedness</w:t>
            </w:r>
            <w:r w:rsidR="00881766">
              <w:rPr>
                <w:noProof/>
                <w:webHidden/>
              </w:rPr>
              <w:tab/>
            </w:r>
            <w:r w:rsidR="00881766">
              <w:rPr>
                <w:noProof/>
                <w:webHidden/>
              </w:rPr>
              <w:fldChar w:fldCharType="begin"/>
            </w:r>
            <w:r w:rsidR="00881766">
              <w:rPr>
                <w:noProof/>
                <w:webHidden/>
              </w:rPr>
              <w:instrText xml:space="preserve"> PAGEREF _Toc47040128 \h </w:instrText>
            </w:r>
            <w:r w:rsidR="00881766">
              <w:rPr>
                <w:noProof/>
                <w:webHidden/>
              </w:rPr>
            </w:r>
            <w:r w:rsidR="00881766">
              <w:rPr>
                <w:noProof/>
                <w:webHidden/>
              </w:rPr>
              <w:fldChar w:fldCharType="separate"/>
            </w:r>
            <w:r w:rsidR="00881766">
              <w:rPr>
                <w:noProof/>
                <w:webHidden/>
              </w:rPr>
              <w:t>4</w:t>
            </w:r>
            <w:r w:rsidR="00881766">
              <w:rPr>
                <w:noProof/>
                <w:webHidden/>
              </w:rPr>
              <w:fldChar w:fldCharType="end"/>
            </w:r>
          </w:hyperlink>
        </w:p>
        <w:p w14:paraId="72630A79" w14:textId="7C12EBAF" w:rsidR="00881766" w:rsidRDefault="008A41FE">
          <w:pPr>
            <w:pStyle w:val="Verzeichnis2"/>
            <w:tabs>
              <w:tab w:val="right" w:pos="9350"/>
            </w:tabs>
            <w:rPr>
              <w:rFonts w:asciiTheme="minorHAnsi" w:eastAsiaTheme="minorEastAsia" w:hAnsiTheme="minorHAnsi" w:cstheme="minorBidi"/>
              <w:noProof/>
              <w:lang w:val="en-US"/>
            </w:rPr>
          </w:pPr>
          <w:hyperlink w:anchor="_Toc47040129" w:history="1">
            <w:r w:rsidR="00881766" w:rsidRPr="006F3AF4">
              <w:rPr>
                <w:rStyle w:val="Hyperlink"/>
                <w:noProof/>
              </w:rPr>
              <w:t>Converting linear code representation of a glycan to a readable textual tree representation</w:t>
            </w:r>
            <w:r w:rsidR="00881766">
              <w:rPr>
                <w:noProof/>
                <w:webHidden/>
              </w:rPr>
              <w:tab/>
            </w:r>
            <w:r w:rsidR="00881766">
              <w:rPr>
                <w:noProof/>
                <w:webHidden/>
              </w:rPr>
              <w:fldChar w:fldCharType="begin"/>
            </w:r>
            <w:r w:rsidR="00881766">
              <w:rPr>
                <w:noProof/>
                <w:webHidden/>
              </w:rPr>
              <w:instrText xml:space="preserve"> PAGEREF _Toc47040129 \h </w:instrText>
            </w:r>
            <w:r w:rsidR="00881766">
              <w:rPr>
                <w:noProof/>
                <w:webHidden/>
              </w:rPr>
            </w:r>
            <w:r w:rsidR="00881766">
              <w:rPr>
                <w:noProof/>
                <w:webHidden/>
              </w:rPr>
              <w:fldChar w:fldCharType="separate"/>
            </w:r>
            <w:r w:rsidR="00881766">
              <w:rPr>
                <w:noProof/>
                <w:webHidden/>
              </w:rPr>
              <w:t>4</w:t>
            </w:r>
            <w:r w:rsidR="00881766">
              <w:rPr>
                <w:noProof/>
                <w:webHidden/>
              </w:rPr>
              <w:fldChar w:fldCharType="end"/>
            </w:r>
          </w:hyperlink>
        </w:p>
        <w:p w14:paraId="5C95A9DC" w14:textId="22E07DD2" w:rsidR="00881766" w:rsidRDefault="008A41FE">
          <w:pPr>
            <w:pStyle w:val="Verzeichnis2"/>
            <w:tabs>
              <w:tab w:val="right" w:pos="9350"/>
            </w:tabs>
            <w:rPr>
              <w:rFonts w:asciiTheme="minorHAnsi" w:eastAsiaTheme="minorEastAsia" w:hAnsiTheme="minorHAnsi" w:cstheme="minorBidi"/>
              <w:noProof/>
              <w:lang w:val="en-US"/>
            </w:rPr>
          </w:pPr>
          <w:hyperlink w:anchor="_Toc47040130" w:history="1">
            <w:r w:rsidR="00881766" w:rsidRPr="006F3AF4">
              <w:rPr>
                <w:rStyle w:val="Hyperlink"/>
                <w:noProof/>
              </w:rPr>
              <w:t>Checking whether a string matches an uncertainty operator in a glycan</w:t>
            </w:r>
            <w:r w:rsidR="00881766">
              <w:rPr>
                <w:noProof/>
                <w:webHidden/>
              </w:rPr>
              <w:tab/>
            </w:r>
            <w:r w:rsidR="00881766">
              <w:rPr>
                <w:noProof/>
                <w:webHidden/>
              </w:rPr>
              <w:fldChar w:fldCharType="begin"/>
            </w:r>
            <w:r w:rsidR="00881766">
              <w:rPr>
                <w:noProof/>
                <w:webHidden/>
              </w:rPr>
              <w:instrText xml:space="preserve"> PAGEREF _Toc47040130 \h </w:instrText>
            </w:r>
            <w:r w:rsidR="00881766">
              <w:rPr>
                <w:noProof/>
                <w:webHidden/>
              </w:rPr>
            </w:r>
            <w:r w:rsidR="00881766">
              <w:rPr>
                <w:noProof/>
                <w:webHidden/>
              </w:rPr>
              <w:fldChar w:fldCharType="separate"/>
            </w:r>
            <w:r w:rsidR="00881766">
              <w:rPr>
                <w:noProof/>
                <w:webHidden/>
              </w:rPr>
              <w:t>5</w:t>
            </w:r>
            <w:r w:rsidR="00881766">
              <w:rPr>
                <w:noProof/>
                <w:webHidden/>
              </w:rPr>
              <w:fldChar w:fldCharType="end"/>
            </w:r>
          </w:hyperlink>
        </w:p>
        <w:p w14:paraId="74A237F5" w14:textId="3EDD2991" w:rsidR="00881766" w:rsidRDefault="008A41FE">
          <w:pPr>
            <w:pStyle w:val="Verzeichnis2"/>
            <w:tabs>
              <w:tab w:val="right" w:pos="9350"/>
            </w:tabs>
            <w:rPr>
              <w:rFonts w:asciiTheme="minorHAnsi" w:eastAsiaTheme="minorEastAsia" w:hAnsiTheme="minorHAnsi" w:cstheme="minorBidi"/>
              <w:noProof/>
              <w:lang w:val="en-US"/>
            </w:rPr>
          </w:pPr>
          <w:hyperlink w:anchor="_Toc47040131" w:history="1">
            <w:r w:rsidR="00881766" w:rsidRPr="006F3AF4">
              <w:rPr>
                <w:rStyle w:val="Hyperlink"/>
                <w:noProof/>
              </w:rPr>
              <w:t>Finding all nonempty subsequences that match an uncertainty operator in a glycan</w:t>
            </w:r>
            <w:r w:rsidR="00881766">
              <w:rPr>
                <w:noProof/>
                <w:webHidden/>
              </w:rPr>
              <w:tab/>
            </w:r>
            <w:r w:rsidR="00881766">
              <w:rPr>
                <w:noProof/>
                <w:webHidden/>
              </w:rPr>
              <w:fldChar w:fldCharType="begin"/>
            </w:r>
            <w:r w:rsidR="00881766">
              <w:rPr>
                <w:noProof/>
                <w:webHidden/>
              </w:rPr>
              <w:instrText xml:space="preserve"> PAGEREF _Toc47040131 \h </w:instrText>
            </w:r>
            <w:r w:rsidR="00881766">
              <w:rPr>
                <w:noProof/>
                <w:webHidden/>
              </w:rPr>
            </w:r>
            <w:r w:rsidR="00881766">
              <w:rPr>
                <w:noProof/>
                <w:webHidden/>
              </w:rPr>
              <w:fldChar w:fldCharType="separate"/>
            </w:r>
            <w:r w:rsidR="00881766">
              <w:rPr>
                <w:noProof/>
                <w:webHidden/>
              </w:rPr>
              <w:t>6</w:t>
            </w:r>
            <w:r w:rsidR="00881766">
              <w:rPr>
                <w:noProof/>
                <w:webHidden/>
              </w:rPr>
              <w:fldChar w:fldCharType="end"/>
            </w:r>
          </w:hyperlink>
        </w:p>
        <w:p w14:paraId="0E49A672" w14:textId="2C728A49" w:rsidR="00881766" w:rsidRDefault="008A41FE">
          <w:pPr>
            <w:pStyle w:val="Verzeichnis2"/>
            <w:tabs>
              <w:tab w:val="right" w:pos="9350"/>
            </w:tabs>
            <w:rPr>
              <w:rFonts w:asciiTheme="minorHAnsi" w:eastAsiaTheme="minorEastAsia" w:hAnsiTheme="minorHAnsi" w:cstheme="minorBidi"/>
              <w:noProof/>
              <w:lang w:val="en-US"/>
            </w:rPr>
          </w:pPr>
          <w:hyperlink w:anchor="_Toc47040132" w:history="1">
            <w:r w:rsidR="00881766" w:rsidRPr="006F3AF4">
              <w:rPr>
                <w:rStyle w:val="Hyperlink"/>
                <w:noProof/>
              </w:rPr>
              <w:t>A Context-free Grammar for LiCoRR representations</w:t>
            </w:r>
            <w:r w:rsidR="00881766">
              <w:rPr>
                <w:noProof/>
                <w:webHidden/>
              </w:rPr>
              <w:tab/>
            </w:r>
            <w:r w:rsidR="00881766">
              <w:rPr>
                <w:noProof/>
                <w:webHidden/>
              </w:rPr>
              <w:fldChar w:fldCharType="begin"/>
            </w:r>
            <w:r w:rsidR="00881766">
              <w:rPr>
                <w:noProof/>
                <w:webHidden/>
              </w:rPr>
              <w:instrText xml:space="preserve"> PAGEREF _Toc47040132 \h </w:instrText>
            </w:r>
            <w:r w:rsidR="00881766">
              <w:rPr>
                <w:noProof/>
                <w:webHidden/>
              </w:rPr>
            </w:r>
            <w:r w:rsidR="00881766">
              <w:rPr>
                <w:noProof/>
                <w:webHidden/>
              </w:rPr>
              <w:fldChar w:fldCharType="separate"/>
            </w:r>
            <w:r w:rsidR="00881766">
              <w:rPr>
                <w:noProof/>
                <w:webHidden/>
              </w:rPr>
              <w:t>7</w:t>
            </w:r>
            <w:r w:rsidR="00881766">
              <w:rPr>
                <w:noProof/>
                <w:webHidden/>
              </w:rPr>
              <w:fldChar w:fldCharType="end"/>
            </w:r>
          </w:hyperlink>
        </w:p>
        <w:p w14:paraId="00000021" w14:textId="3A832161" w:rsidR="00555290" w:rsidRDefault="00EC67E9">
          <w:pPr>
            <w:tabs>
              <w:tab w:val="right" w:pos="9360"/>
            </w:tabs>
            <w:spacing w:before="60" w:after="80" w:line="240" w:lineRule="auto"/>
            <w:ind w:left="720"/>
            <w:rPr>
              <w:color w:val="000000"/>
            </w:rPr>
          </w:pPr>
          <w:r>
            <w:fldChar w:fldCharType="end"/>
          </w:r>
        </w:p>
      </w:sdtContent>
    </w:sdt>
    <w:p w14:paraId="00000022" w14:textId="77777777" w:rsidR="00555290" w:rsidRDefault="00555290"/>
    <w:p w14:paraId="00000023" w14:textId="77777777" w:rsidR="00555290" w:rsidRDefault="00EC67E9">
      <w:pPr>
        <w:pStyle w:val="berschrift1"/>
      </w:pPr>
      <w:bookmarkStart w:id="2" w:name="_dcqe186nanw5" w:colFirst="0" w:colLast="0"/>
      <w:bookmarkEnd w:id="2"/>
      <w:r>
        <w:br w:type="page"/>
      </w:r>
    </w:p>
    <w:p w14:paraId="00000024" w14:textId="77777777" w:rsidR="00555290" w:rsidRDefault="00EC67E9">
      <w:pPr>
        <w:pStyle w:val="berschrift1"/>
      </w:pPr>
      <w:bookmarkStart w:id="3" w:name="_Toc47040120"/>
      <w:r>
        <w:lastRenderedPageBreak/>
        <w:t>Supporting Tables</w:t>
      </w:r>
      <w:bookmarkEnd w:id="3"/>
    </w:p>
    <w:p w14:paraId="00000025" w14:textId="77777777" w:rsidR="00555290" w:rsidRDefault="00EC67E9">
      <w:pPr>
        <w:pStyle w:val="berschrift2"/>
      </w:pPr>
      <w:bookmarkStart w:id="4" w:name="_Toc47040121"/>
      <w:r>
        <w:t>Table S1 - All position combination F(E(D)(</w:t>
      </w:r>
      <w:proofErr w:type="gramStart"/>
      <w:r>
        <w:t>C)B</w:t>
      </w:r>
      <w:proofErr w:type="gramEnd"/>
      <w:r>
        <w:t>)A</w:t>
      </w:r>
      <w:bookmarkEnd w:id="4"/>
      <w:r>
        <w:t xml:space="preserve"> </w:t>
      </w:r>
    </w:p>
    <w:p w14:paraId="00000026" w14:textId="77777777" w:rsidR="00555290" w:rsidRDefault="00EC67E9">
      <w:r>
        <w:rPr>
          <w:rFonts w:ascii="Roboto" w:eastAsia="Roboto" w:hAnsi="Roboto" w:cs="Roboto"/>
          <w:sz w:val="20"/>
          <w:szCs w:val="20"/>
          <w:highlight w:val="white"/>
        </w:rPr>
        <w:t>The glycan string F(E(D)(</w:t>
      </w:r>
      <w:proofErr w:type="gramStart"/>
      <w:r>
        <w:rPr>
          <w:rFonts w:ascii="Roboto" w:eastAsia="Roboto" w:hAnsi="Roboto" w:cs="Roboto"/>
          <w:sz w:val="20"/>
          <w:szCs w:val="20"/>
          <w:highlight w:val="white"/>
        </w:rPr>
        <w:t>C)B</w:t>
      </w:r>
      <w:proofErr w:type="gramEnd"/>
      <w:r>
        <w:rPr>
          <w:rFonts w:ascii="Roboto" w:eastAsia="Roboto" w:hAnsi="Roboto" w:cs="Roboto"/>
          <w:sz w:val="20"/>
          <w:szCs w:val="20"/>
          <w:highlight w:val="white"/>
        </w:rPr>
        <w:t>)A is written in every valid form using all three wildcards. Each row shows the symbol “&lt;&gt;” in one position. The checkmark is shown in the next three columns if either a “...”, “_” or “+” can replace the “&lt;&gt;” to recapitulate the original string: F(E(D)(C)B)A. White MSs are certain MSs appearing in the linear code. Gray MSs are what the wild card symbol stands for in the F(E(D)(</w:t>
      </w:r>
      <w:proofErr w:type="gramStart"/>
      <w:r>
        <w:rPr>
          <w:rFonts w:ascii="Roboto" w:eastAsia="Roboto" w:hAnsi="Roboto" w:cs="Roboto"/>
          <w:sz w:val="20"/>
          <w:szCs w:val="20"/>
          <w:highlight w:val="white"/>
        </w:rPr>
        <w:t>C)B</w:t>
      </w:r>
      <w:proofErr w:type="gramEnd"/>
      <w:r>
        <w:rPr>
          <w:rFonts w:ascii="Roboto" w:eastAsia="Roboto" w:hAnsi="Roboto" w:cs="Roboto"/>
          <w:sz w:val="20"/>
          <w:szCs w:val="20"/>
          <w:highlight w:val="white"/>
        </w:rPr>
        <w:t>)A glycan.</w:t>
      </w:r>
    </w:p>
    <w:p w14:paraId="00000027" w14:textId="77777777" w:rsidR="00555290" w:rsidRDefault="00EC67E9">
      <w:pPr>
        <w:pStyle w:val="berschrift2"/>
      </w:pPr>
      <w:bookmarkStart w:id="5" w:name="_Toc47040122"/>
      <w:r>
        <w:t>Table S2 - All Reaction Rules Sets Examined in this manuscript</w:t>
      </w:r>
      <w:bookmarkEnd w:id="5"/>
    </w:p>
    <w:p w14:paraId="00000028" w14:textId="77777777" w:rsidR="00555290" w:rsidRDefault="00EC67E9">
      <w:r>
        <w:t xml:space="preserve">All reaction rule sets discussed in the paper collected in </w:t>
      </w:r>
      <w:proofErr w:type="spellStart"/>
      <w:r>
        <w:t>LiCoRR</w:t>
      </w:r>
      <w:proofErr w:type="spellEnd"/>
      <w:r>
        <w:t xml:space="preserve"> format. These rules can be used for future analyses and multiple comparisons.</w:t>
      </w:r>
    </w:p>
    <w:p w14:paraId="00000029" w14:textId="77777777" w:rsidR="00555290" w:rsidRDefault="00EC67E9">
      <w:pPr>
        <w:pStyle w:val="berschrift2"/>
      </w:pPr>
      <w:bookmarkStart w:id="6" w:name="_Toc47040123"/>
      <w:r>
        <w:t>Table S3 - Wildcard Checker</w:t>
      </w:r>
      <w:bookmarkEnd w:id="6"/>
    </w:p>
    <w:p w14:paraId="0000002A" w14:textId="77777777" w:rsidR="00555290" w:rsidRDefault="00EC67E9">
      <w:r>
        <w:t>An excel sheet with a symbol checker implemented in VBA. This program will check if substrings in the first column match either the continuation (“_”), ligand (“...”), or branch (“+”).</w:t>
      </w:r>
    </w:p>
    <w:p w14:paraId="0000002B" w14:textId="77777777" w:rsidR="00555290" w:rsidRDefault="00EC67E9">
      <w:pPr>
        <w:pStyle w:val="berschrift2"/>
      </w:pPr>
      <w:bookmarkStart w:id="7" w:name="_Toc47040124"/>
      <w:r>
        <w:t>Table S4 - Computational Illustration of Uncertainty Operator Matches</w:t>
      </w:r>
      <w:bookmarkEnd w:id="7"/>
    </w:p>
    <w:p w14:paraId="0000002C" w14:textId="1EA16554" w:rsidR="00555290" w:rsidRDefault="00EC67E9">
      <w:r>
        <w:t xml:space="preserve">The panels of this figure describe the (nonempty) subsequences of the richly structured glycan NNa3(ANb4)Ab4GNb2(NNa6Ab4GNb4)Ma3(NNa3(ANb4)Ab4GNb3Ab4GNb2(NNa3(ANb4)Ab4GNb6)Ma6)Ma4GNb4(Fa6)GN that match </w:t>
      </w:r>
      <w:proofErr w:type="spellStart"/>
      <w:r>
        <w:t>LiCoRR's</w:t>
      </w:r>
      <w:proofErr w:type="spellEnd"/>
      <w:r>
        <w:t xml:space="preserve"> ' + ' vs. '....' vs. '_' uncertainty operators. Table (A) enumerates every (nonempty) contiguous subsequence of the demonstration glycan, plus the left and right contexts of the subsequence, plus whether the center subsequence matches each of the uncertainty operators, or (finally) any of the uncertainty operators. Table (B) is a subset of Table (A) that includes only those rows where the center ('match') subsequence matches at least one uncertainty operator. Tables (C-E) enumerate the subsets of Table (A)'s first three columns where the center ('match') subsequence matches each of the three uncertainty operators in {'+</w:t>
      </w:r>
      <w:proofErr w:type="gramStart"/>
      <w:r>
        <w:t>','...'</w:t>
      </w:r>
      <w:proofErr w:type="gramEnd"/>
      <w:r>
        <w:t xml:space="preserve">, '_'}. Table (F) enumerates the subset of Table (A) where the center ('match') subsequence matches the continuation operator ('_') but </w:t>
      </w:r>
      <w:r>
        <w:rPr>
          <w:i/>
        </w:rPr>
        <w:t>not</w:t>
      </w:r>
      <w:r>
        <w:t xml:space="preserve"> the ligand operator ('...'). All tables were calculated more or less directly from the </w:t>
      </w:r>
      <w:proofErr w:type="spellStart"/>
      <w:r>
        <w:t>gRegEx</w:t>
      </w:r>
      <w:proofErr w:type="spellEnd"/>
      <w:r>
        <w:t xml:space="preserve"> software library.</w:t>
      </w:r>
    </w:p>
    <w:p w14:paraId="30B90B67" w14:textId="477F66B0" w:rsidR="00F9122E" w:rsidRDefault="00F9122E"/>
    <w:p w14:paraId="16CA8C3B" w14:textId="77777777" w:rsidR="00F9122E" w:rsidRDefault="00F9122E" w:rsidP="00F9122E">
      <w:pPr>
        <w:pStyle w:val="berschrift2"/>
      </w:pPr>
      <w:bookmarkStart w:id="8" w:name="_Toc47040125"/>
      <w:r>
        <w:t xml:space="preserve">Table S5 – Reaction rules in Linear Code, </w:t>
      </w:r>
      <w:proofErr w:type="spellStart"/>
      <w:r>
        <w:t>LiCoRR</w:t>
      </w:r>
      <w:proofErr w:type="spellEnd"/>
      <w:r>
        <w:t xml:space="preserve"> and </w:t>
      </w:r>
      <w:proofErr w:type="spellStart"/>
      <w:r>
        <w:t>LiCoRRICE</w:t>
      </w:r>
      <w:bookmarkEnd w:id="8"/>
      <w:proofErr w:type="spellEnd"/>
    </w:p>
    <w:p w14:paraId="7D934BA9" w14:textId="73727465" w:rsidR="00F9122E" w:rsidRDefault="00F9122E" w:rsidP="00F9122E">
      <w:r>
        <w:t>We provide a matched table of reaction rules translated into each of the three languages we discussed.</w:t>
      </w:r>
    </w:p>
    <w:p w14:paraId="0505B863" w14:textId="77777777" w:rsidR="00F9122E" w:rsidRDefault="00F9122E"/>
    <w:p w14:paraId="252A8928" w14:textId="77777777" w:rsidR="00F9122E" w:rsidRDefault="00F9122E" w:rsidP="00F9122E">
      <w:pPr>
        <w:pStyle w:val="berschrift2"/>
      </w:pPr>
      <w:bookmarkStart w:id="9" w:name="_Toc47040126"/>
      <w:r>
        <w:t>Table S6 – Monosaccharide-Functional Group Network Analysis</w:t>
      </w:r>
      <w:bookmarkEnd w:id="9"/>
    </w:p>
    <w:p w14:paraId="3B9032A8" w14:textId="6BDC83D1" w:rsidR="00F9122E" w:rsidRDefault="00F9122E" w:rsidP="00F9122E">
      <w:r>
        <w:t>Excel spreadsheet listing the modifications required to reach each monosaccharide within the same cluster. For those with no cluster membership, a list of all needed modifications for them to be reached based on every cluster MCS was generated.</w:t>
      </w:r>
    </w:p>
    <w:p w14:paraId="0000002D" w14:textId="77777777" w:rsidR="00555290" w:rsidRDefault="00EC67E9">
      <w:pPr>
        <w:pStyle w:val="berschrift1"/>
      </w:pPr>
      <w:bookmarkStart w:id="10" w:name="_Toc47040127"/>
      <w:r>
        <w:t xml:space="preserve">Supporting Software: </w:t>
      </w:r>
      <w:proofErr w:type="spellStart"/>
      <w:r>
        <w:t>gRegEx</w:t>
      </w:r>
      <w:bookmarkEnd w:id="10"/>
      <w:proofErr w:type="spellEnd"/>
    </w:p>
    <w:p w14:paraId="0000002E" w14:textId="77777777" w:rsidR="00555290" w:rsidRDefault="00555290"/>
    <w:p w14:paraId="0000002F" w14:textId="77777777" w:rsidR="00555290" w:rsidRDefault="00555290"/>
    <w:p w14:paraId="00000030" w14:textId="412FE4CB" w:rsidR="00555290" w:rsidRDefault="00EC67E9">
      <w:r>
        <w:t xml:space="preserve">Code is available at </w:t>
      </w:r>
      <w:hyperlink r:id="rId5">
        <w:r>
          <w:rPr>
            <w:color w:val="1155CC"/>
            <w:u w:val="single"/>
          </w:rPr>
          <w:t>https://github.com/emeinhardt/gregex</w:t>
        </w:r>
      </w:hyperlink>
      <w:r>
        <w:t>.</w:t>
      </w:r>
    </w:p>
    <w:p w14:paraId="00000031" w14:textId="77777777" w:rsidR="00555290" w:rsidRDefault="00555290"/>
    <w:p w14:paraId="00000032" w14:textId="77777777" w:rsidR="00555290" w:rsidRDefault="00EC67E9">
      <w:proofErr w:type="spellStart"/>
      <w:r>
        <w:t>gRegEx</w:t>
      </w:r>
      <w:proofErr w:type="spellEnd"/>
      <w:r>
        <w:t xml:space="preserve"> is an open source Python library and command-line tool for working with linear code representations of glycans and checking what structures will match what uncertainty operators. For example, command-line functionality currently includes (1) checking whether a linear code representation is syntactically well-formed--matches the rules for a linear code or </w:t>
      </w:r>
      <w:proofErr w:type="spellStart"/>
      <w:r>
        <w:t>LiCoRR</w:t>
      </w:r>
      <w:proofErr w:type="spellEnd"/>
      <w:r>
        <w:t xml:space="preserve"> expression, (2) converting a linear code representation to an equivalent textual representation (common in computational linguistics) that makes branching structure of longer glycans easier to see at a glance, (3) identifying all subsequences of a glycan (along with associated left- and right-contexts) that match a given uncertainty operator, and (4) checking whether something can be substituted for a particular uncertainty operator in a glycan containing that operator.</w:t>
      </w:r>
    </w:p>
    <w:p w14:paraId="00000033" w14:textId="77777777" w:rsidR="00555290" w:rsidRDefault="00555290"/>
    <w:p w14:paraId="00000034" w14:textId="77777777" w:rsidR="00555290" w:rsidRDefault="00EC67E9">
      <w:r>
        <w:t xml:space="preserve">While the Python module supports composable and extensible manipulation of linear code representations, four key functions are available via the command-line and illustrated below. (More details are available via </w:t>
      </w:r>
      <w:r>
        <w:rPr>
          <w:rFonts w:ascii="Source Code Pro" w:eastAsia="Source Code Pro" w:hAnsi="Source Code Pro" w:cs="Source Code Pro"/>
          <w:sz w:val="20"/>
          <w:szCs w:val="20"/>
        </w:rPr>
        <w:t xml:space="preserve">python -m </w:t>
      </w:r>
      <w:proofErr w:type="spellStart"/>
      <w:r>
        <w:rPr>
          <w:rFonts w:ascii="Source Code Pro" w:eastAsia="Source Code Pro" w:hAnsi="Source Code Pro" w:cs="Source Code Pro"/>
          <w:sz w:val="20"/>
          <w:szCs w:val="20"/>
        </w:rPr>
        <w:t>gregex</w:t>
      </w:r>
      <w:proofErr w:type="spellEnd"/>
      <w:r>
        <w:rPr>
          <w:rFonts w:ascii="Source Code Pro" w:eastAsia="Source Code Pro" w:hAnsi="Source Code Pro" w:cs="Source Code Pro"/>
          <w:sz w:val="20"/>
          <w:szCs w:val="20"/>
        </w:rPr>
        <w:t xml:space="preserve"> -h</w:t>
      </w:r>
      <w:r>
        <w:t xml:space="preserve"> and in the repository documentation.)</w:t>
      </w:r>
    </w:p>
    <w:p w14:paraId="00000035" w14:textId="77777777" w:rsidR="00555290" w:rsidRDefault="00EC67E9">
      <w:pPr>
        <w:pStyle w:val="berschrift2"/>
      </w:pPr>
      <w:bookmarkStart w:id="11" w:name="_Toc47040128"/>
      <w:r>
        <w:t>Checking syntactic well-formedness</w:t>
      </w:r>
      <w:bookmarkEnd w:id="11"/>
    </w:p>
    <w:p w14:paraId="00000036" w14:textId="77777777" w:rsidR="00555290" w:rsidRDefault="00EC67E9">
      <w:r>
        <w:t>If passed a linear code expression representing a single glycan, a Boolean is returned indicating whether the expression can be parsed according to the default grammar (see further below).</w:t>
      </w:r>
    </w:p>
    <w:p w14:paraId="00000037" w14:textId="77777777" w:rsidR="00555290" w:rsidRDefault="00555290"/>
    <w:p w14:paraId="00000038"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python -m </w:t>
      </w:r>
      <w:proofErr w:type="spellStart"/>
      <w:r>
        <w:rPr>
          <w:rFonts w:ascii="Source Code Pro" w:eastAsia="Source Code Pro" w:hAnsi="Source Code Pro" w:cs="Source Code Pro"/>
          <w:sz w:val="20"/>
          <w:szCs w:val="20"/>
        </w:rPr>
        <w:t>gregex</w:t>
      </w:r>
      <w:proofErr w:type="spellEnd"/>
      <w:r>
        <w:rPr>
          <w:rFonts w:ascii="Source Code Pro" w:eastAsia="Source Code Pro" w:hAnsi="Source Code Pro" w:cs="Source Code Pro"/>
          <w:sz w:val="20"/>
          <w:szCs w:val="20"/>
        </w:rPr>
        <w:t xml:space="preserve"> ‘Ma6(Ma</w:t>
      </w:r>
      <w:proofErr w:type="gramStart"/>
      <w:r>
        <w:rPr>
          <w:rFonts w:ascii="Source Code Pro" w:eastAsia="Source Code Pro" w:hAnsi="Source Code Pro" w:cs="Source Code Pro"/>
          <w:sz w:val="20"/>
          <w:szCs w:val="20"/>
        </w:rPr>
        <w:t>4)M</w:t>
      </w:r>
      <w:proofErr w:type="gramEnd"/>
      <w:r>
        <w:rPr>
          <w:rFonts w:ascii="Source Code Pro" w:eastAsia="Source Code Pro" w:hAnsi="Source Code Pro" w:cs="Source Code Pro"/>
          <w:sz w:val="20"/>
          <w:szCs w:val="20"/>
        </w:rPr>
        <w:t>’  #is ‘Ma6(Ma4)M’ well-formed?</w:t>
      </w:r>
    </w:p>
    <w:p w14:paraId="00000039"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True</w:t>
      </w:r>
    </w:p>
    <w:p w14:paraId="0000003A" w14:textId="77777777" w:rsidR="00555290" w:rsidRDefault="00555290"/>
    <w:p w14:paraId="0000003B" w14:textId="77777777" w:rsidR="00555290" w:rsidRDefault="00EC67E9">
      <w:pPr>
        <w:pStyle w:val="berschrift2"/>
      </w:pPr>
      <w:bookmarkStart w:id="12" w:name="_Toc47040129"/>
      <w:r>
        <w:t>Converting linear code representation of a glycan to a readable textual tree representation</w:t>
      </w:r>
      <w:bookmarkEnd w:id="12"/>
    </w:p>
    <w:p w14:paraId="0000003C" w14:textId="77777777" w:rsidR="00555290" w:rsidRDefault="00EC67E9">
      <w:r>
        <w:t xml:space="preserve">While linear code will be more compact (on average) than more general tree notations when chains (‘unary branching’) is more typical than multi-child branching, the ‘bushier’ a glycan is and the longer a glycan is, the harder it will be for a human to see hierarchical structure at a </w:t>
      </w:r>
      <w:r>
        <w:lastRenderedPageBreak/>
        <w:t>glance and the more likely they are to make mistakes while reading or editing. ‘s-expressions’ (see below) are a textual notation for (potentially nested) lists taken from the Lisp family of programming languages and sometimes used in computational linguistics for representing syntactic trees. They remain machine readable while making tree structure more apparent, particularly when indented according to common conventions supported by common text editors.</w:t>
      </w:r>
    </w:p>
    <w:p w14:paraId="0000003D" w14:textId="77777777" w:rsidR="00555290" w:rsidRDefault="00555290"/>
    <w:p w14:paraId="0000003E"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w:t>
      </w:r>
      <w:proofErr w:type="spellStart"/>
      <w:r w:rsidRPr="00D33C05">
        <w:rPr>
          <w:rFonts w:ascii="Source Code Pro" w:eastAsia="Source Code Pro" w:hAnsi="Source Code Pro" w:cs="Source Code Pro"/>
          <w:sz w:val="20"/>
          <w:szCs w:val="20"/>
          <w:lang w:val="de-DE"/>
        </w:rPr>
        <w:t>python</w:t>
      </w:r>
      <w:proofErr w:type="spellEnd"/>
      <w:r w:rsidRPr="00D33C05">
        <w:rPr>
          <w:rFonts w:ascii="Source Code Pro" w:eastAsia="Source Code Pro" w:hAnsi="Source Code Pro" w:cs="Source Code Pro"/>
          <w:sz w:val="20"/>
          <w:szCs w:val="20"/>
          <w:lang w:val="de-DE"/>
        </w:rPr>
        <w:t xml:space="preserve"> -m </w:t>
      </w:r>
      <w:proofErr w:type="spellStart"/>
      <w:r w:rsidRPr="00D33C05">
        <w:rPr>
          <w:rFonts w:ascii="Source Code Pro" w:eastAsia="Source Code Pro" w:hAnsi="Source Code Pro" w:cs="Source Code Pro"/>
          <w:sz w:val="20"/>
          <w:szCs w:val="20"/>
          <w:lang w:val="de-DE"/>
        </w:rPr>
        <w:t>gregex</w:t>
      </w:r>
      <w:proofErr w:type="spellEnd"/>
      <w:r w:rsidRPr="00D33C05">
        <w:rPr>
          <w:rFonts w:ascii="Source Code Pro" w:eastAsia="Source Code Pro" w:hAnsi="Source Code Pro" w:cs="Source Code Pro"/>
          <w:sz w:val="20"/>
          <w:szCs w:val="20"/>
          <w:lang w:val="de-DE"/>
        </w:rPr>
        <w:t xml:space="preserve"> 'NNa3(ANb</w:t>
      </w:r>
      <w:proofErr w:type="gramStart"/>
      <w:r w:rsidRPr="00D33C05">
        <w:rPr>
          <w:rFonts w:ascii="Source Code Pro" w:eastAsia="Source Code Pro" w:hAnsi="Source Code Pro" w:cs="Source Code Pro"/>
          <w:sz w:val="20"/>
          <w:szCs w:val="20"/>
          <w:lang w:val="de-DE"/>
        </w:rPr>
        <w:t>4)Ab</w:t>
      </w:r>
      <w:proofErr w:type="gramEnd"/>
      <w:r w:rsidRPr="00D33C05">
        <w:rPr>
          <w:rFonts w:ascii="Source Code Pro" w:eastAsia="Source Code Pro" w:hAnsi="Source Code Pro" w:cs="Source Code Pro"/>
          <w:sz w:val="20"/>
          <w:szCs w:val="20"/>
          <w:lang w:val="de-DE"/>
        </w:rPr>
        <w:t>4GNb2(NNa6Ab4GNb4)Ma3(NNa3(ANb4)Ab4GNb3Ab4GNb2(NNa3(ANb4)Ab4GNb6)Ma6)Ma4GNb4(Fa6)GN' -e</w:t>
      </w:r>
    </w:p>
    <w:p w14:paraId="0000003F"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(GN Fa6 (GNb4 (Ma4 (Ma6 (GNb6 (Ab4 ANb4 NNa3)) (GNb2 (Ab4 (GNb3 (Ab4 ANb4 NNa3))))) (Ma3 (GNb4 (Ab4 NNa6)) (GNb2 (Ab4 ANb4 NNa3))))))</w:t>
      </w:r>
    </w:p>
    <w:p w14:paraId="00000040" w14:textId="77777777" w:rsidR="00555290" w:rsidRPr="00D33C05" w:rsidRDefault="00555290">
      <w:pPr>
        <w:rPr>
          <w:lang w:val="de-DE"/>
        </w:rPr>
      </w:pPr>
    </w:p>
    <w:p w14:paraId="00000041" w14:textId="77777777" w:rsidR="00555290" w:rsidRDefault="00EC67E9">
      <w:r>
        <w:t>When indented more or less according to common conventions, this becomes</w:t>
      </w:r>
    </w:p>
    <w:p w14:paraId="00000042" w14:textId="77777777" w:rsidR="00555290" w:rsidRDefault="00555290"/>
    <w:p w14:paraId="00000043"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(GN Fa6</w:t>
      </w:r>
    </w:p>
    <w:p w14:paraId="00000044"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(GNb4 (Ma4 (Ma6 (GNb6 (Ab4 ANb4</w:t>
      </w:r>
    </w:p>
    <w:p w14:paraId="00000045"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NNa3))</w:t>
      </w:r>
    </w:p>
    <w:p w14:paraId="00000046"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(GNb2 (Ab4 (GNb3 (Ab4 ANb4</w:t>
      </w:r>
    </w:p>
    <w:p w14:paraId="00000047"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NNa3)))))</w:t>
      </w:r>
    </w:p>
    <w:p w14:paraId="00000048"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(Ma3 (GNb4 (Ab4 NNa6))</w:t>
      </w:r>
    </w:p>
    <w:p w14:paraId="00000049" w14:textId="77777777" w:rsidR="00555290" w:rsidRDefault="00EC67E9">
      <w:pPr>
        <w:rPr>
          <w:rFonts w:ascii="Source Code Pro" w:eastAsia="Source Code Pro" w:hAnsi="Source Code Pro" w:cs="Source Code Pro"/>
          <w:sz w:val="20"/>
          <w:szCs w:val="20"/>
        </w:rPr>
      </w:pPr>
      <w:r w:rsidRPr="00D33C05">
        <w:rPr>
          <w:rFonts w:ascii="Source Code Pro" w:eastAsia="Source Code Pro" w:hAnsi="Source Code Pro" w:cs="Source Code Pro"/>
          <w:sz w:val="20"/>
          <w:szCs w:val="20"/>
          <w:lang w:val="de-DE"/>
        </w:rPr>
        <w:t xml:space="preserve">                    </w:t>
      </w:r>
      <w:r>
        <w:rPr>
          <w:rFonts w:ascii="Source Code Pro" w:eastAsia="Source Code Pro" w:hAnsi="Source Code Pro" w:cs="Source Code Pro"/>
          <w:sz w:val="20"/>
          <w:szCs w:val="20"/>
        </w:rPr>
        <w:t>(GNb2 (Ab4 ANb4</w:t>
      </w:r>
    </w:p>
    <w:p w14:paraId="0000004A"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NNa3))))))</w:t>
      </w:r>
    </w:p>
    <w:p w14:paraId="0000004B" w14:textId="77777777" w:rsidR="00555290" w:rsidRDefault="00555290"/>
    <w:p w14:paraId="0000004C" w14:textId="77777777" w:rsidR="00555290" w:rsidRDefault="00EC67E9">
      <w:r>
        <w:t>Restoring the one-line representation is as simple as removing tab and newline characters from this multi-line string.</w:t>
      </w:r>
    </w:p>
    <w:p w14:paraId="0000004D" w14:textId="77777777" w:rsidR="00555290" w:rsidRDefault="00555290"/>
    <w:p w14:paraId="0000004E" w14:textId="77777777" w:rsidR="00555290" w:rsidRDefault="00EC67E9">
      <w:pPr>
        <w:pStyle w:val="berschrift2"/>
      </w:pPr>
      <w:bookmarkStart w:id="13" w:name="_Toc47040130"/>
      <w:r>
        <w:t>Checking whether a string matches an uncertainty operator in a glycan</w:t>
      </w:r>
      <w:bookmarkEnd w:id="13"/>
    </w:p>
    <w:p w14:paraId="0000004F" w14:textId="77777777" w:rsidR="00555290" w:rsidRDefault="00EC67E9">
      <w:r>
        <w:t>Given a linear code representation with exactly one uncertainty operator in it, users can check whether a particular string can be substituted for the operator:</w:t>
      </w:r>
    </w:p>
    <w:p w14:paraId="00000050" w14:textId="77777777" w:rsidR="00555290" w:rsidRDefault="00555290"/>
    <w:p w14:paraId="00000051"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python -m </w:t>
      </w:r>
      <w:proofErr w:type="spellStart"/>
      <w:r>
        <w:rPr>
          <w:rFonts w:ascii="Source Code Pro" w:eastAsia="Source Code Pro" w:hAnsi="Source Code Pro" w:cs="Source Code Pro"/>
          <w:sz w:val="20"/>
          <w:szCs w:val="20"/>
        </w:rPr>
        <w:t>gregex</w:t>
      </w:r>
      <w:proofErr w:type="spellEnd"/>
      <w:r>
        <w:rPr>
          <w:rFonts w:ascii="Source Code Pro" w:eastAsia="Source Code Pro" w:hAnsi="Source Code Pro" w:cs="Source Code Pro"/>
          <w:sz w:val="20"/>
          <w:szCs w:val="20"/>
        </w:rPr>
        <w:t xml:space="preserve"> ‘Ma4_M’ -s ‘(Ma6)</w:t>
      </w:r>
      <w:proofErr w:type="gramStart"/>
      <w:r>
        <w:rPr>
          <w:rFonts w:ascii="Source Code Pro" w:eastAsia="Source Code Pro" w:hAnsi="Source Code Pro" w:cs="Source Code Pro"/>
          <w:sz w:val="20"/>
          <w:szCs w:val="20"/>
        </w:rPr>
        <w:t>’  #</w:t>
      </w:r>
      <w:proofErr w:type="gramEnd"/>
      <w:r>
        <w:rPr>
          <w:rFonts w:ascii="Source Code Pro" w:eastAsia="Source Code Pro" w:hAnsi="Source Code Pro" w:cs="Source Code Pro"/>
          <w:sz w:val="20"/>
          <w:szCs w:val="20"/>
        </w:rPr>
        <w:t xml:space="preserve"> does ‘(Ma6)’ match ‘_’ and yield a well-formed glycan?</w:t>
      </w:r>
    </w:p>
    <w:p w14:paraId="00000052"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True</w:t>
      </w:r>
    </w:p>
    <w:p w14:paraId="00000053" w14:textId="77777777" w:rsidR="00555290" w:rsidRPr="00D33C05" w:rsidRDefault="00555290">
      <w:pPr>
        <w:rPr>
          <w:lang w:val="de-DE"/>
        </w:rPr>
      </w:pPr>
    </w:p>
    <w:p w14:paraId="00000054"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python -m gregex ‘Ma4_M’ -s ‘(Ma6’</w:t>
      </w:r>
    </w:p>
    <w:p w14:paraId="00000055"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False</w:t>
      </w:r>
    </w:p>
    <w:p w14:paraId="00000056" w14:textId="77777777" w:rsidR="00555290" w:rsidRDefault="00555290"/>
    <w:p w14:paraId="00000057" w14:textId="77777777" w:rsidR="00555290" w:rsidRDefault="00EC67E9">
      <w:pPr>
        <w:pStyle w:val="berschrift2"/>
      </w:pPr>
      <w:bookmarkStart w:id="14" w:name="_Toc47040131"/>
      <w:r>
        <w:lastRenderedPageBreak/>
        <w:t>Finding all nonempty subsequences that match an uncertainty operator in a glycan</w:t>
      </w:r>
      <w:bookmarkEnd w:id="14"/>
    </w:p>
    <w:p w14:paraId="00000058" w14:textId="77777777" w:rsidR="00555290" w:rsidRDefault="00EC67E9">
      <w:r>
        <w:t xml:space="preserve">Given a linear code representation of a single glycan, the </w:t>
      </w:r>
      <w:proofErr w:type="spellStart"/>
      <w:r>
        <w:t>gRegEx</w:t>
      </w:r>
      <w:proofErr w:type="spellEnd"/>
      <w:r>
        <w:t xml:space="preserve"> command-line interface supports enumerating all subsequences that match a particular uncertainty operator:</w:t>
      </w:r>
    </w:p>
    <w:p w14:paraId="00000059" w14:textId="77777777" w:rsidR="00555290" w:rsidRDefault="00555290"/>
    <w:p w14:paraId="0000005A"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 </w:t>
      </w:r>
      <w:proofErr w:type="spellStart"/>
      <w:r w:rsidRPr="00D33C05">
        <w:rPr>
          <w:rFonts w:ascii="Source Code Pro" w:eastAsia="Source Code Pro" w:hAnsi="Source Code Pro" w:cs="Source Code Pro"/>
          <w:sz w:val="20"/>
          <w:szCs w:val="20"/>
          <w:lang w:val="de-DE"/>
        </w:rPr>
        <w:t>python</w:t>
      </w:r>
      <w:proofErr w:type="spellEnd"/>
      <w:r w:rsidRPr="00D33C05">
        <w:rPr>
          <w:rFonts w:ascii="Source Code Pro" w:eastAsia="Source Code Pro" w:hAnsi="Source Code Pro" w:cs="Source Code Pro"/>
          <w:sz w:val="20"/>
          <w:szCs w:val="20"/>
          <w:lang w:val="de-DE"/>
        </w:rPr>
        <w:t xml:space="preserve"> -m </w:t>
      </w:r>
      <w:proofErr w:type="spellStart"/>
      <w:r w:rsidRPr="00D33C05">
        <w:rPr>
          <w:rFonts w:ascii="Source Code Pro" w:eastAsia="Source Code Pro" w:hAnsi="Source Code Pro" w:cs="Source Code Pro"/>
          <w:sz w:val="20"/>
          <w:szCs w:val="20"/>
          <w:lang w:val="de-DE"/>
        </w:rPr>
        <w:t>gregex</w:t>
      </w:r>
      <w:proofErr w:type="spellEnd"/>
      <w:r w:rsidRPr="00D33C05">
        <w:rPr>
          <w:rFonts w:ascii="Source Code Pro" w:eastAsia="Source Code Pro" w:hAnsi="Source Code Pro" w:cs="Source Code Pro"/>
          <w:sz w:val="20"/>
          <w:szCs w:val="20"/>
          <w:lang w:val="de-DE"/>
        </w:rPr>
        <w:t xml:space="preserve"> 'Ma4(Ma</w:t>
      </w:r>
      <w:proofErr w:type="gramStart"/>
      <w:r w:rsidRPr="00D33C05">
        <w:rPr>
          <w:rFonts w:ascii="Source Code Pro" w:eastAsia="Source Code Pro" w:hAnsi="Source Code Pro" w:cs="Source Code Pro"/>
          <w:sz w:val="20"/>
          <w:szCs w:val="20"/>
          <w:lang w:val="de-DE"/>
        </w:rPr>
        <w:t>6)M</w:t>
      </w:r>
      <w:proofErr w:type="gramEnd"/>
      <w:r w:rsidRPr="00D33C05">
        <w:rPr>
          <w:rFonts w:ascii="Source Code Pro" w:eastAsia="Source Code Pro" w:hAnsi="Source Code Pro" w:cs="Source Code Pro"/>
          <w:sz w:val="20"/>
          <w:szCs w:val="20"/>
          <w:lang w:val="de-DE"/>
        </w:rPr>
        <w:t>' -o '_'</w:t>
      </w:r>
    </w:p>
    <w:p w14:paraId="0000005B"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(Ma6)</w:t>
      </w:r>
    </w:p>
    <w:p w14:paraId="0000005C"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(Ma6)M</w:t>
      </w:r>
    </w:p>
    <w:p w14:paraId="0000005D"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w:t>
      </w:r>
    </w:p>
    <w:p w14:paraId="0000005E"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w:t>
      </w:r>
    </w:p>
    <w:p w14:paraId="0000005F"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w:t>
      </w:r>
    </w:p>
    <w:p w14:paraId="00000060"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Ma4</w:t>
      </w:r>
    </w:p>
    <w:p w14:paraId="00000061"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Ma4(Ma6)</w:t>
      </w:r>
    </w:p>
    <w:p w14:paraId="00000062"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Ma4(Ma</w:t>
      </w:r>
      <w:proofErr w:type="gramStart"/>
      <w:r>
        <w:rPr>
          <w:rFonts w:ascii="Source Code Pro" w:eastAsia="Source Code Pro" w:hAnsi="Source Code Pro" w:cs="Source Code Pro"/>
          <w:sz w:val="20"/>
          <w:szCs w:val="20"/>
        </w:rPr>
        <w:t>6)M</w:t>
      </w:r>
      <w:proofErr w:type="gramEnd"/>
    </w:p>
    <w:p w14:paraId="00000063"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Ma6</w:t>
      </w:r>
    </w:p>
    <w:p w14:paraId="00000064"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Ma6)</w:t>
      </w:r>
    </w:p>
    <w:p w14:paraId="00000065"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w:t>
      </w:r>
      <w:proofErr w:type="gramStart"/>
      <w:r>
        <w:rPr>
          <w:rFonts w:ascii="Source Code Pro" w:eastAsia="Source Code Pro" w:hAnsi="Source Code Pro" w:cs="Source Code Pro"/>
          <w:sz w:val="20"/>
          <w:szCs w:val="20"/>
        </w:rPr>
        <w:t>6)M</w:t>
      </w:r>
      <w:proofErr w:type="gramEnd"/>
    </w:p>
    <w:p w14:paraId="00000066" w14:textId="77777777" w:rsidR="00555290" w:rsidRDefault="00555290"/>
    <w:p w14:paraId="00000067" w14:textId="77777777" w:rsidR="00555290" w:rsidRDefault="00EC67E9">
      <w:r>
        <w:t>Optionally including left and right context as well:</w:t>
      </w:r>
    </w:p>
    <w:p w14:paraId="00000068" w14:textId="77777777" w:rsidR="00555290" w:rsidRDefault="00555290"/>
    <w:p w14:paraId="00000069"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python -m </w:t>
      </w:r>
      <w:proofErr w:type="spellStart"/>
      <w:r>
        <w:rPr>
          <w:rFonts w:ascii="Source Code Pro" w:eastAsia="Source Code Pro" w:hAnsi="Source Code Pro" w:cs="Source Code Pro"/>
          <w:sz w:val="20"/>
          <w:szCs w:val="20"/>
        </w:rPr>
        <w:t>gregex</w:t>
      </w:r>
      <w:proofErr w:type="spellEnd"/>
      <w:r>
        <w:rPr>
          <w:rFonts w:ascii="Source Code Pro" w:eastAsia="Source Code Pro" w:hAnsi="Source Code Pro" w:cs="Source Code Pro"/>
          <w:sz w:val="20"/>
          <w:szCs w:val="20"/>
        </w:rPr>
        <w:t xml:space="preserve"> 'Ma4(Ma</w:t>
      </w:r>
      <w:proofErr w:type="gramStart"/>
      <w:r>
        <w:rPr>
          <w:rFonts w:ascii="Source Code Pro" w:eastAsia="Source Code Pro" w:hAnsi="Source Code Pro" w:cs="Source Code Pro"/>
          <w:sz w:val="20"/>
          <w:szCs w:val="20"/>
        </w:rPr>
        <w:t>6)M</w:t>
      </w:r>
      <w:proofErr w:type="gramEnd"/>
      <w:r>
        <w:rPr>
          <w:rFonts w:ascii="Source Code Pro" w:eastAsia="Source Code Pro" w:hAnsi="Source Code Pro" w:cs="Source Code Pro"/>
          <w:sz w:val="20"/>
          <w:szCs w:val="20"/>
        </w:rPr>
        <w:t xml:space="preserve">' -o '_' -c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tab2csv -H -t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add-header -n </w:t>
      </w:r>
      <w:proofErr w:type="spellStart"/>
      <w:r>
        <w:rPr>
          <w:rFonts w:ascii="Source Code Pro" w:eastAsia="Source Code Pro" w:hAnsi="Source Code Pro" w:cs="Source Code Pro"/>
          <w:sz w:val="20"/>
          <w:szCs w:val="20"/>
        </w:rPr>
        <w:t>Left,Match,Right</w:t>
      </w:r>
      <w:proofErr w:type="spellEnd"/>
      <w:r>
        <w:rPr>
          <w:rFonts w:ascii="Source Code Pro" w:eastAsia="Source Code Pro" w:hAnsi="Source Code Pro" w:cs="Source Code Pro"/>
          <w:sz w:val="20"/>
          <w:szCs w:val="20"/>
        </w:rPr>
        <w:t xml:space="preserve">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csv2md</w:t>
      </w:r>
    </w:p>
    <w:p w14:paraId="0000006A"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Left    |Match    |Right</w:t>
      </w:r>
    </w:p>
    <w:p w14:paraId="0000006B"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w:t>
      </w:r>
    </w:p>
    <w:p w14:paraId="0000006C"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|Ma4      |(Ma</w:t>
      </w:r>
      <w:proofErr w:type="gramStart"/>
      <w:r>
        <w:rPr>
          <w:rFonts w:ascii="Source Code Pro" w:eastAsia="Source Code Pro" w:hAnsi="Source Code Pro" w:cs="Source Code Pro"/>
          <w:sz w:val="20"/>
          <w:szCs w:val="20"/>
        </w:rPr>
        <w:t>6)M</w:t>
      </w:r>
      <w:proofErr w:type="gramEnd"/>
    </w:p>
    <w:p w14:paraId="0000006D"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|Ma4(Ma6) |M</w:t>
      </w:r>
    </w:p>
    <w:p w14:paraId="0000006E"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|Ma4(Ma</w:t>
      </w:r>
      <w:proofErr w:type="gramStart"/>
      <w:r>
        <w:rPr>
          <w:rFonts w:ascii="Source Code Pro" w:eastAsia="Source Code Pro" w:hAnsi="Source Code Pro" w:cs="Source Code Pro"/>
          <w:sz w:val="20"/>
          <w:szCs w:val="20"/>
        </w:rPr>
        <w:t>6)M</w:t>
      </w:r>
      <w:proofErr w:type="gramEnd"/>
      <w:r>
        <w:rPr>
          <w:rFonts w:ascii="Source Code Pro" w:eastAsia="Source Code Pro" w:hAnsi="Source Code Pro" w:cs="Source Code Pro"/>
          <w:sz w:val="20"/>
          <w:szCs w:val="20"/>
        </w:rPr>
        <w:t>|</w:t>
      </w:r>
    </w:p>
    <w:p w14:paraId="0000006F"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Ma4     |(Ma6)    |M</w:t>
      </w:r>
    </w:p>
    <w:p w14:paraId="00000070"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Ma4     |(Ma</w:t>
      </w:r>
      <w:proofErr w:type="gramStart"/>
      <w:r w:rsidRPr="00D33C05">
        <w:rPr>
          <w:rFonts w:ascii="Source Code Pro" w:eastAsia="Source Code Pro" w:hAnsi="Source Code Pro" w:cs="Source Code Pro"/>
          <w:sz w:val="20"/>
          <w:szCs w:val="20"/>
          <w:lang w:val="de-DE"/>
        </w:rPr>
        <w:t>6)M</w:t>
      </w:r>
      <w:proofErr w:type="gramEnd"/>
      <w:r w:rsidRPr="00D33C05">
        <w:rPr>
          <w:rFonts w:ascii="Source Code Pro" w:eastAsia="Source Code Pro" w:hAnsi="Source Code Pro" w:cs="Source Code Pro"/>
          <w:sz w:val="20"/>
          <w:szCs w:val="20"/>
          <w:lang w:val="de-DE"/>
        </w:rPr>
        <w:t xml:space="preserve">   |</w:t>
      </w:r>
    </w:p>
    <w:p w14:paraId="00000071"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      |)M</w:t>
      </w:r>
    </w:p>
    <w:p w14:paraId="00000072"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     |M</w:t>
      </w:r>
    </w:p>
    <w:p w14:paraId="00000073"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|Ma6)M    |</w:t>
      </w:r>
    </w:p>
    <w:p w14:paraId="00000074"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Ma4(Ma6 </w:t>
      </w:r>
      <w:proofErr w:type="gramStart"/>
      <w:r w:rsidRPr="00D33C05">
        <w:rPr>
          <w:rFonts w:ascii="Source Code Pro" w:eastAsia="Source Code Pro" w:hAnsi="Source Code Pro" w:cs="Source Code Pro"/>
          <w:sz w:val="20"/>
          <w:szCs w:val="20"/>
          <w:lang w:val="de-DE"/>
        </w:rPr>
        <w:t xml:space="preserve">|)   </w:t>
      </w:r>
      <w:proofErr w:type="gramEnd"/>
      <w:r w:rsidRPr="00D33C05">
        <w:rPr>
          <w:rFonts w:ascii="Source Code Pro" w:eastAsia="Source Code Pro" w:hAnsi="Source Code Pro" w:cs="Source Code Pro"/>
          <w:sz w:val="20"/>
          <w:szCs w:val="20"/>
          <w:lang w:val="de-DE"/>
        </w:rPr>
        <w:t xml:space="preserve">     |M</w:t>
      </w:r>
    </w:p>
    <w:p w14:paraId="00000075"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Ma4(Ma6 </w:t>
      </w:r>
      <w:proofErr w:type="gramStart"/>
      <w:r w:rsidRPr="00D33C05">
        <w:rPr>
          <w:rFonts w:ascii="Source Code Pro" w:eastAsia="Source Code Pro" w:hAnsi="Source Code Pro" w:cs="Source Code Pro"/>
          <w:sz w:val="20"/>
          <w:szCs w:val="20"/>
          <w:lang w:val="de-DE"/>
        </w:rPr>
        <w:t>|)M</w:t>
      </w:r>
      <w:proofErr w:type="gramEnd"/>
      <w:r w:rsidRPr="00D33C05">
        <w:rPr>
          <w:rFonts w:ascii="Source Code Pro" w:eastAsia="Source Code Pro" w:hAnsi="Source Code Pro" w:cs="Source Code Pro"/>
          <w:sz w:val="20"/>
          <w:szCs w:val="20"/>
          <w:lang w:val="de-DE"/>
        </w:rPr>
        <w:t xml:space="preserve">       |</w:t>
      </w:r>
    </w:p>
    <w:p w14:paraId="00000076"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Ma4(Ma</w:t>
      </w:r>
      <w:proofErr w:type="gramStart"/>
      <w:r>
        <w:rPr>
          <w:rFonts w:ascii="Source Code Pro" w:eastAsia="Source Code Pro" w:hAnsi="Source Code Pro" w:cs="Source Code Pro"/>
          <w:sz w:val="20"/>
          <w:szCs w:val="20"/>
        </w:rPr>
        <w:t>6)|</w:t>
      </w:r>
      <w:proofErr w:type="gramEnd"/>
      <w:r>
        <w:rPr>
          <w:rFonts w:ascii="Source Code Pro" w:eastAsia="Source Code Pro" w:hAnsi="Source Code Pro" w:cs="Source Code Pro"/>
          <w:sz w:val="20"/>
          <w:szCs w:val="20"/>
        </w:rPr>
        <w:t>M        |</w:t>
      </w:r>
    </w:p>
    <w:p w14:paraId="00000077" w14:textId="77777777" w:rsidR="00555290" w:rsidRDefault="00555290"/>
    <w:p w14:paraId="00000078" w14:textId="77777777" w:rsidR="00555290" w:rsidRDefault="00EC67E9">
      <w:r>
        <w:t>A variant of this command can be used to identify all nonempty subsequences that both match a particular uncertainty operator and where a particular substring could be successfully substituted for that operator:</w:t>
      </w:r>
    </w:p>
    <w:p w14:paraId="00000079" w14:textId="77777777" w:rsidR="00555290" w:rsidRDefault="00555290"/>
    <w:p w14:paraId="0000007A"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python -m </w:t>
      </w:r>
      <w:proofErr w:type="spellStart"/>
      <w:r>
        <w:rPr>
          <w:rFonts w:ascii="Source Code Pro" w:eastAsia="Source Code Pro" w:hAnsi="Source Code Pro" w:cs="Source Code Pro"/>
          <w:sz w:val="20"/>
          <w:szCs w:val="20"/>
        </w:rPr>
        <w:t>gregex</w:t>
      </w:r>
      <w:proofErr w:type="spellEnd"/>
      <w:r>
        <w:rPr>
          <w:rFonts w:ascii="Source Code Pro" w:eastAsia="Source Code Pro" w:hAnsi="Source Code Pro" w:cs="Source Code Pro"/>
          <w:sz w:val="20"/>
          <w:szCs w:val="20"/>
        </w:rPr>
        <w:t xml:space="preserve"> 'Ma4(Ma6)M' -o '_' -s '(Ma2)' -c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tab2csv -H -t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add-header -n </w:t>
      </w:r>
      <w:proofErr w:type="spellStart"/>
      <w:r>
        <w:rPr>
          <w:rFonts w:ascii="Source Code Pro" w:eastAsia="Source Code Pro" w:hAnsi="Source Code Pro" w:cs="Source Code Pro"/>
          <w:sz w:val="20"/>
          <w:szCs w:val="20"/>
        </w:rPr>
        <w:t>Left,Operator_Match,Right,Valid_Substitution</w:t>
      </w:r>
      <w:proofErr w:type="spellEnd"/>
      <w:r>
        <w:rPr>
          <w:rFonts w:ascii="Source Code Pro" w:eastAsia="Source Code Pro" w:hAnsi="Source Code Pro" w:cs="Source Code Pro"/>
          <w:sz w:val="20"/>
          <w:szCs w:val="20"/>
        </w:rPr>
        <w:t xml:space="preserve"> | </w:t>
      </w:r>
      <w:proofErr w:type="spellStart"/>
      <w:r>
        <w:rPr>
          <w:rFonts w:ascii="Source Code Pro" w:eastAsia="Source Code Pro" w:hAnsi="Source Code Pro" w:cs="Source Code Pro"/>
          <w:sz w:val="20"/>
          <w:szCs w:val="20"/>
        </w:rPr>
        <w:t>csvtk</w:t>
      </w:r>
      <w:proofErr w:type="spellEnd"/>
      <w:r>
        <w:rPr>
          <w:rFonts w:ascii="Source Code Pro" w:eastAsia="Source Code Pro" w:hAnsi="Source Code Pro" w:cs="Source Code Pro"/>
          <w:sz w:val="20"/>
          <w:szCs w:val="20"/>
        </w:rPr>
        <w:t xml:space="preserve"> csv2md</w:t>
      </w:r>
    </w:p>
    <w:p w14:paraId="0000007B"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Left    |</w:t>
      </w:r>
      <w:proofErr w:type="spellStart"/>
      <w:r>
        <w:rPr>
          <w:rFonts w:ascii="Source Code Pro" w:eastAsia="Source Code Pro" w:hAnsi="Source Code Pro" w:cs="Source Code Pro"/>
          <w:sz w:val="20"/>
          <w:szCs w:val="20"/>
        </w:rPr>
        <w:t>Operator_Match|Right</w:t>
      </w:r>
      <w:proofErr w:type="spellEnd"/>
      <w:r>
        <w:rPr>
          <w:rFonts w:ascii="Source Code Pro" w:eastAsia="Source Code Pro" w:hAnsi="Source Code Pro" w:cs="Source Code Pro"/>
          <w:sz w:val="20"/>
          <w:szCs w:val="20"/>
        </w:rPr>
        <w:t xml:space="preserve"> |</w:t>
      </w:r>
      <w:proofErr w:type="spellStart"/>
      <w:r>
        <w:rPr>
          <w:rFonts w:ascii="Source Code Pro" w:eastAsia="Source Code Pro" w:hAnsi="Source Code Pro" w:cs="Source Code Pro"/>
          <w:sz w:val="20"/>
          <w:szCs w:val="20"/>
        </w:rPr>
        <w:t>Valid_Substitution</w:t>
      </w:r>
      <w:proofErr w:type="spellEnd"/>
    </w:p>
    <w:p w14:paraId="0000007C"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w:t>
      </w:r>
    </w:p>
    <w:p w14:paraId="0000007D"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t xml:space="preserve">        |Ma4           |(Ma</w:t>
      </w:r>
      <w:proofErr w:type="gramStart"/>
      <w:r>
        <w:rPr>
          <w:rFonts w:ascii="Source Code Pro" w:eastAsia="Source Code Pro" w:hAnsi="Source Code Pro" w:cs="Source Code Pro"/>
          <w:sz w:val="20"/>
          <w:szCs w:val="20"/>
        </w:rPr>
        <w:t>6)</w:t>
      </w:r>
      <w:proofErr w:type="spellStart"/>
      <w:r>
        <w:rPr>
          <w:rFonts w:ascii="Source Code Pro" w:eastAsia="Source Code Pro" w:hAnsi="Source Code Pro" w:cs="Source Code Pro"/>
          <w:sz w:val="20"/>
          <w:szCs w:val="20"/>
        </w:rPr>
        <w:t>M</w:t>
      </w:r>
      <w:proofErr w:type="gramEnd"/>
      <w:r>
        <w:rPr>
          <w:rFonts w:ascii="Source Code Pro" w:eastAsia="Source Code Pro" w:hAnsi="Source Code Pro" w:cs="Source Code Pro"/>
          <w:sz w:val="20"/>
          <w:szCs w:val="20"/>
        </w:rPr>
        <w:t>|True</w:t>
      </w:r>
      <w:proofErr w:type="spellEnd"/>
    </w:p>
    <w:p w14:paraId="0000007E" w14:textId="77777777" w:rsidR="00555290" w:rsidRDefault="00EC67E9">
      <w:pPr>
        <w:rPr>
          <w:rFonts w:ascii="Source Code Pro" w:eastAsia="Source Code Pro" w:hAnsi="Source Code Pro" w:cs="Source Code Pro"/>
          <w:sz w:val="20"/>
          <w:szCs w:val="20"/>
        </w:rPr>
      </w:pPr>
      <w:r>
        <w:rPr>
          <w:rFonts w:ascii="Source Code Pro" w:eastAsia="Source Code Pro" w:hAnsi="Source Code Pro" w:cs="Source Code Pro"/>
          <w:sz w:val="20"/>
          <w:szCs w:val="20"/>
        </w:rPr>
        <w:lastRenderedPageBreak/>
        <w:t xml:space="preserve">        |Ma4(Ma6)      |M     |True</w:t>
      </w:r>
    </w:p>
    <w:p w14:paraId="0000007F" w14:textId="77777777" w:rsidR="00555290" w:rsidRPr="00D33C05" w:rsidRDefault="00EC67E9">
      <w:pPr>
        <w:rPr>
          <w:rFonts w:ascii="Source Code Pro" w:eastAsia="Source Code Pro" w:hAnsi="Source Code Pro" w:cs="Source Code Pro"/>
          <w:sz w:val="20"/>
          <w:szCs w:val="20"/>
          <w:lang w:val="de-DE"/>
        </w:rPr>
      </w:pPr>
      <w:r>
        <w:rPr>
          <w:rFonts w:ascii="Source Code Pro" w:eastAsia="Source Code Pro" w:hAnsi="Source Code Pro" w:cs="Source Code Pro"/>
          <w:sz w:val="20"/>
          <w:szCs w:val="20"/>
        </w:rPr>
        <w:t xml:space="preserve">        </w:t>
      </w:r>
      <w:r w:rsidRPr="00D33C05">
        <w:rPr>
          <w:rFonts w:ascii="Source Code Pro" w:eastAsia="Source Code Pro" w:hAnsi="Source Code Pro" w:cs="Source Code Pro"/>
          <w:sz w:val="20"/>
          <w:szCs w:val="20"/>
          <w:lang w:val="de-DE"/>
        </w:rPr>
        <w:t>|Ma4(Ma6)M     |      |True</w:t>
      </w:r>
    </w:p>
    <w:p w14:paraId="00000080"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Ma4     |(Ma6)         |M     |True</w:t>
      </w:r>
    </w:p>
    <w:p w14:paraId="00000081"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Ma4     |(Ma</w:t>
      </w:r>
      <w:proofErr w:type="gramStart"/>
      <w:r w:rsidRPr="00D33C05">
        <w:rPr>
          <w:rFonts w:ascii="Source Code Pro" w:eastAsia="Source Code Pro" w:hAnsi="Source Code Pro" w:cs="Source Code Pro"/>
          <w:sz w:val="20"/>
          <w:szCs w:val="20"/>
          <w:lang w:val="de-DE"/>
        </w:rPr>
        <w:t>6)M</w:t>
      </w:r>
      <w:proofErr w:type="gramEnd"/>
      <w:r w:rsidRPr="00D33C05">
        <w:rPr>
          <w:rFonts w:ascii="Source Code Pro" w:eastAsia="Source Code Pro" w:hAnsi="Source Code Pro" w:cs="Source Code Pro"/>
          <w:sz w:val="20"/>
          <w:szCs w:val="20"/>
          <w:lang w:val="de-DE"/>
        </w:rPr>
        <w:t xml:space="preserve">        |      |True</w:t>
      </w:r>
    </w:p>
    <w:p w14:paraId="00000082"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           |)M    |True</w:t>
      </w:r>
    </w:p>
    <w:p w14:paraId="00000083"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          |M     |</w:t>
      </w:r>
      <w:proofErr w:type="spellStart"/>
      <w:r w:rsidRPr="00D33C05">
        <w:rPr>
          <w:rFonts w:ascii="Source Code Pro" w:eastAsia="Source Code Pro" w:hAnsi="Source Code Pro" w:cs="Source Code Pro"/>
          <w:sz w:val="20"/>
          <w:szCs w:val="20"/>
          <w:lang w:val="de-DE"/>
        </w:rPr>
        <w:t>False</w:t>
      </w:r>
      <w:proofErr w:type="spellEnd"/>
    </w:p>
    <w:p w14:paraId="00000084"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Ma</w:t>
      </w:r>
      <w:proofErr w:type="gramStart"/>
      <w:r w:rsidRPr="00D33C05">
        <w:rPr>
          <w:rFonts w:ascii="Source Code Pro" w:eastAsia="Source Code Pro" w:hAnsi="Source Code Pro" w:cs="Source Code Pro"/>
          <w:sz w:val="20"/>
          <w:szCs w:val="20"/>
          <w:lang w:val="de-DE"/>
        </w:rPr>
        <w:t xml:space="preserve">4(  </w:t>
      </w:r>
      <w:proofErr w:type="gramEnd"/>
      <w:r w:rsidRPr="00D33C05">
        <w:rPr>
          <w:rFonts w:ascii="Source Code Pro" w:eastAsia="Source Code Pro" w:hAnsi="Source Code Pro" w:cs="Source Code Pro"/>
          <w:sz w:val="20"/>
          <w:szCs w:val="20"/>
          <w:lang w:val="de-DE"/>
        </w:rPr>
        <w:t xml:space="preserve">  |Ma6)M         |      |</w:t>
      </w:r>
      <w:proofErr w:type="spellStart"/>
      <w:r w:rsidRPr="00D33C05">
        <w:rPr>
          <w:rFonts w:ascii="Source Code Pro" w:eastAsia="Source Code Pro" w:hAnsi="Source Code Pro" w:cs="Source Code Pro"/>
          <w:sz w:val="20"/>
          <w:szCs w:val="20"/>
          <w:lang w:val="de-DE"/>
        </w:rPr>
        <w:t>False</w:t>
      </w:r>
      <w:proofErr w:type="spellEnd"/>
    </w:p>
    <w:p w14:paraId="00000085"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Ma4(Ma6 </w:t>
      </w:r>
      <w:proofErr w:type="gramStart"/>
      <w:r w:rsidRPr="00D33C05">
        <w:rPr>
          <w:rFonts w:ascii="Source Code Pro" w:eastAsia="Source Code Pro" w:hAnsi="Source Code Pro" w:cs="Source Code Pro"/>
          <w:sz w:val="20"/>
          <w:szCs w:val="20"/>
          <w:lang w:val="de-DE"/>
        </w:rPr>
        <w:t xml:space="preserve">|)   </w:t>
      </w:r>
      <w:proofErr w:type="gramEnd"/>
      <w:r w:rsidRPr="00D33C05">
        <w:rPr>
          <w:rFonts w:ascii="Source Code Pro" w:eastAsia="Source Code Pro" w:hAnsi="Source Code Pro" w:cs="Source Code Pro"/>
          <w:sz w:val="20"/>
          <w:szCs w:val="20"/>
          <w:lang w:val="de-DE"/>
        </w:rPr>
        <w:t xml:space="preserve">          |M     |</w:t>
      </w:r>
      <w:proofErr w:type="spellStart"/>
      <w:r w:rsidRPr="00D33C05">
        <w:rPr>
          <w:rFonts w:ascii="Source Code Pro" w:eastAsia="Source Code Pro" w:hAnsi="Source Code Pro" w:cs="Source Code Pro"/>
          <w:sz w:val="20"/>
          <w:szCs w:val="20"/>
          <w:lang w:val="de-DE"/>
        </w:rPr>
        <w:t>False</w:t>
      </w:r>
      <w:proofErr w:type="spellEnd"/>
    </w:p>
    <w:p w14:paraId="00000086" w14:textId="77777777" w:rsidR="00555290" w:rsidRPr="00D33C05" w:rsidRDefault="00EC67E9">
      <w:pPr>
        <w:rPr>
          <w:rFonts w:ascii="Source Code Pro" w:eastAsia="Source Code Pro" w:hAnsi="Source Code Pro" w:cs="Source Code Pro"/>
          <w:sz w:val="20"/>
          <w:szCs w:val="20"/>
          <w:lang w:val="de-DE"/>
        </w:rPr>
      </w:pPr>
      <w:r w:rsidRPr="00D33C05">
        <w:rPr>
          <w:rFonts w:ascii="Source Code Pro" w:eastAsia="Source Code Pro" w:hAnsi="Source Code Pro" w:cs="Source Code Pro"/>
          <w:sz w:val="20"/>
          <w:szCs w:val="20"/>
          <w:lang w:val="de-DE"/>
        </w:rPr>
        <w:t xml:space="preserve">Ma4(Ma6 </w:t>
      </w:r>
      <w:proofErr w:type="gramStart"/>
      <w:r w:rsidRPr="00D33C05">
        <w:rPr>
          <w:rFonts w:ascii="Source Code Pro" w:eastAsia="Source Code Pro" w:hAnsi="Source Code Pro" w:cs="Source Code Pro"/>
          <w:sz w:val="20"/>
          <w:szCs w:val="20"/>
          <w:lang w:val="de-DE"/>
        </w:rPr>
        <w:t>|)M</w:t>
      </w:r>
      <w:proofErr w:type="gramEnd"/>
      <w:r w:rsidRPr="00D33C05">
        <w:rPr>
          <w:rFonts w:ascii="Source Code Pro" w:eastAsia="Source Code Pro" w:hAnsi="Source Code Pro" w:cs="Source Code Pro"/>
          <w:sz w:val="20"/>
          <w:szCs w:val="20"/>
          <w:lang w:val="de-DE"/>
        </w:rPr>
        <w:t xml:space="preserve">            |      |</w:t>
      </w:r>
      <w:proofErr w:type="spellStart"/>
      <w:r w:rsidRPr="00D33C05">
        <w:rPr>
          <w:rFonts w:ascii="Source Code Pro" w:eastAsia="Source Code Pro" w:hAnsi="Source Code Pro" w:cs="Source Code Pro"/>
          <w:sz w:val="20"/>
          <w:szCs w:val="20"/>
          <w:lang w:val="de-DE"/>
        </w:rPr>
        <w:t>False</w:t>
      </w:r>
      <w:proofErr w:type="spellEnd"/>
    </w:p>
    <w:p w14:paraId="00000087" w14:textId="77777777" w:rsidR="00555290" w:rsidRDefault="00EC67E9">
      <w:r>
        <w:rPr>
          <w:rFonts w:ascii="Source Code Pro" w:eastAsia="Source Code Pro" w:hAnsi="Source Code Pro" w:cs="Source Code Pro"/>
          <w:sz w:val="20"/>
          <w:szCs w:val="20"/>
        </w:rPr>
        <w:t>Ma4(Ma</w:t>
      </w:r>
      <w:proofErr w:type="gramStart"/>
      <w:r>
        <w:rPr>
          <w:rFonts w:ascii="Source Code Pro" w:eastAsia="Source Code Pro" w:hAnsi="Source Code Pro" w:cs="Source Code Pro"/>
          <w:sz w:val="20"/>
          <w:szCs w:val="20"/>
        </w:rPr>
        <w:t>6)|</w:t>
      </w:r>
      <w:proofErr w:type="gramEnd"/>
      <w:r>
        <w:rPr>
          <w:rFonts w:ascii="Source Code Pro" w:eastAsia="Source Code Pro" w:hAnsi="Source Code Pro" w:cs="Source Code Pro"/>
          <w:sz w:val="20"/>
          <w:szCs w:val="20"/>
        </w:rPr>
        <w:t>M             |      |True</w:t>
      </w:r>
    </w:p>
    <w:p w14:paraId="00000088" w14:textId="77777777" w:rsidR="00555290" w:rsidRDefault="00555290"/>
    <w:p w14:paraId="00000089" w14:textId="77777777" w:rsidR="00555290" w:rsidRDefault="00EC67E9">
      <w:pPr>
        <w:pStyle w:val="berschrift2"/>
      </w:pPr>
      <w:bookmarkStart w:id="15" w:name="_Toc47040132"/>
      <w:r>
        <w:t xml:space="preserve">A Context-free Grammar for </w:t>
      </w:r>
      <w:proofErr w:type="spellStart"/>
      <w:r>
        <w:t>LiCoRR</w:t>
      </w:r>
      <w:proofErr w:type="spellEnd"/>
      <w:r>
        <w:t xml:space="preserve"> representations</w:t>
      </w:r>
      <w:bookmarkEnd w:id="15"/>
    </w:p>
    <w:p w14:paraId="0000008A" w14:textId="77777777" w:rsidR="00555290" w:rsidRDefault="00555290"/>
    <w:p w14:paraId="0000008B" w14:textId="77777777" w:rsidR="00555290" w:rsidRDefault="00EC67E9">
      <w:r>
        <w:t xml:space="preserve">In addition to these practical functions, the software and documentation offer explicit (and in some cases, mathematically precise) specification of </w:t>
      </w:r>
      <w:proofErr w:type="spellStart"/>
      <w:r>
        <w:t>LiCoRR</w:t>
      </w:r>
      <w:proofErr w:type="spellEnd"/>
      <w:r>
        <w:t xml:space="preserve"> notation and operators. For example, the set of syntactically well-formed linear code representations of glycans accepted by the parsing functionality is specified by a context-free grammar. This is a declarative, unambiguous, and mathematical reference description of </w:t>
      </w:r>
      <w:proofErr w:type="spellStart"/>
      <w:r>
        <w:t>LiCoRR</w:t>
      </w:r>
      <w:proofErr w:type="spellEnd"/>
      <w:r>
        <w:t xml:space="preserve"> notation that is independent of any particular parser implementation (recall the difficulties described at the end of “Current Usage of Linear Code to represent Reaction Rules” in the main text). The current grammar currently supports almost all features of </w:t>
      </w:r>
      <w:proofErr w:type="spellStart"/>
      <w:r>
        <w:t>LiCoRR</w:t>
      </w:r>
      <w:proofErr w:type="spellEnd"/>
      <w:r>
        <w:t xml:space="preserve"> relevant to describing a complete glycan or sets of them (as opposed to fragments of a glycan or components of a reaction rule). Below is a simplified version of the grammar (meant for exposition) that describes </w:t>
      </w:r>
      <w:proofErr w:type="spellStart"/>
      <w:r>
        <w:t>LiCoRR</w:t>
      </w:r>
      <w:proofErr w:type="spellEnd"/>
      <w:r>
        <w:t xml:space="preserve"> expressions that pick out (at most) a single glycan:</w:t>
      </w:r>
    </w:p>
    <w:p w14:paraId="0000008C" w14:textId="77777777" w:rsidR="00555290" w:rsidRDefault="00555290">
      <w:pPr>
        <w:rPr>
          <w:rFonts w:ascii="Source Code Pro" w:eastAsia="Source Code Pro" w:hAnsi="Source Code Pro" w:cs="Source Code Pro"/>
          <w:sz w:val="20"/>
          <w:szCs w:val="20"/>
        </w:rPr>
      </w:pPr>
    </w:p>
    <w:p w14:paraId="0000008D" w14:textId="77777777" w:rsidR="00555290" w:rsidRDefault="00EC67E9">
      <w:pPr>
        <w:rPr>
          <w:rFonts w:ascii="Source Code Pro" w:eastAsia="Source Code Pro" w:hAnsi="Source Code Pro" w:cs="Source Code Pro"/>
          <w:sz w:val="18"/>
          <w:szCs w:val="18"/>
        </w:rPr>
      </w:pPr>
      <w:r>
        <w:rPr>
          <w:rFonts w:ascii="Cardo" w:eastAsia="Cardo" w:hAnsi="Cardo" w:cs="Cardo"/>
          <w:sz w:val="18"/>
          <w:szCs w:val="18"/>
        </w:rPr>
        <w:t xml:space="preserve">expression ⟶ (subexpression branch+)? </w:t>
      </w:r>
      <w:proofErr w:type="spellStart"/>
      <w:r>
        <w:rPr>
          <w:rFonts w:ascii="Source Code Pro" w:eastAsia="Source Code Pro" w:hAnsi="Source Code Pro" w:cs="Source Code Pro"/>
          <w:sz w:val="18"/>
          <w:szCs w:val="18"/>
        </w:rPr>
        <w:t>reducing_chain</w:t>
      </w:r>
      <w:proofErr w:type="spellEnd"/>
      <w:r>
        <w:rPr>
          <w:rFonts w:ascii="Source Code Pro" w:eastAsia="Source Code Pro" w:hAnsi="Source Code Pro" w:cs="Source Code Pro"/>
          <w:sz w:val="18"/>
          <w:szCs w:val="18"/>
        </w:rPr>
        <w:t xml:space="preserve"> </w:t>
      </w:r>
      <w:r>
        <w:rPr>
          <w:rFonts w:ascii="Droid Sans Mono" w:eastAsia="Droid Sans Mono" w:hAnsi="Droid Sans Mono" w:cs="Droid Sans Mono"/>
          <w:sz w:val="18"/>
          <w:szCs w:val="18"/>
        </w:rPr>
        <w:t>| λ</w:t>
      </w:r>
    </w:p>
    <w:p w14:paraId="0000008E" w14:textId="77777777" w:rsidR="00555290" w:rsidRDefault="00EC67E9">
      <w:pPr>
        <w:rPr>
          <w:rFonts w:ascii="Source Code Pro" w:eastAsia="Source Code Pro" w:hAnsi="Source Code Pro" w:cs="Source Code Pro"/>
          <w:sz w:val="18"/>
          <w:szCs w:val="18"/>
        </w:rPr>
      </w:pPr>
      <w:proofErr w:type="spellStart"/>
      <w:r>
        <w:rPr>
          <w:rFonts w:ascii="Source Code Pro" w:eastAsia="Source Code Pro" w:hAnsi="Source Code Pro" w:cs="Source Code Pro"/>
          <w:sz w:val="18"/>
          <w:szCs w:val="18"/>
        </w:rPr>
        <w:t>reducing_chain</w:t>
      </w:r>
      <w:proofErr w:type="spellEnd"/>
      <w:r>
        <w:rPr>
          <w:rFonts w:ascii="Source Code Pro" w:eastAsia="Source Code Pro" w:hAnsi="Source Code Pro" w:cs="Source Code Pro"/>
          <w:sz w:val="18"/>
          <w:szCs w:val="18"/>
        </w:rPr>
        <w:t xml:space="preserve"> </w:t>
      </w:r>
      <w:r>
        <w:rPr>
          <w:rFonts w:ascii="Cardo" w:eastAsia="Cardo" w:hAnsi="Cardo" w:cs="Cardo"/>
          <w:sz w:val="18"/>
          <w:szCs w:val="18"/>
        </w:rPr>
        <w:t xml:space="preserve">⟶ </w:t>
      </w:r>
      <w:proofErr w:type="spellStart"/>
      <w:r>
        <w:rPr>
          <w:rFonts w:ascii="Source Code Pro" w:eastAsia="Source Code Pro" w:hAnsi="Source Code Pro" w:cs="Source Code Pro"/>
          <w:sz w:val="18"/>
          <w:szCs w:val="18"/>
        </w:rPr>
        <w:t>complete_SU</w:t>
      </w:r>
      <w:proofErr w:type="spellEnd"/>
      <w:r>
        <w:rPr>
          <w:rFonts w:ascii="Source Code Pro" w:eastAsia="Source Code Pro" w:hAnsi="Source Code Pro" w:cs="Source Code Pro"/>
          <w:sz w:val="18"/>
          <w:szCs w:val="18"/>
        </w:rPr>
        <w:t xml:space="preserve">* </w:t>
      </w:r>
      <w:proofErr w:type="spellStart"/>
      <w:r>
        <w:rPr>
          <w:rFonts w:ascii="Source Code Pro" w:eastAsia="Source Code Pro" w:hAnsi="Source Code Pro" w:cs="Source Code Pro"/>
          <w:sz w:val="18"/>
          <w:szCs w:val="18"/>
        </w:rPr>
        <w:t>reducing_SU</w:t>
      </w:r>
      <w:proofErr w:type="spellEnd"/>
      <w:r>
        <w:rPr>
          <w:rFonts w:ascii="Source Code Pro" w:eastAsia="Source Code Pro" w:hAnsi="Source Code Pro" w:cs="Source Code Pro"/>
          <w:sz w:val="18"/>
          <w:szCs w:val="18"/>
        </w:rPr>
        <w:t xml:space="preserve"> </w:t>
      </w:r>
    </w:p>
    <w:p w14:paraId="0000008F" w14:textId="77777777" w:rsidR="00555290" w:rsidRDefault="00EC67E9">
      <w:pPr>
        <w:rPr>
          <w:rFonts w:ascii="Source Code Pro" w:eastAsia="Source Code Pro" w:hAnsi="Source Code Pro" w:cs="Source Code Pro"/>
          <w:sz w:val="18"/>
          <w:szCs w:val="18"/>
        </w:rPr>
      </w:pPr>
      <w:r>
        <w:rPr>
          <w:rFonts w:ascii="Cardo" w:eastAsia="Cardo" w:hAnsi="Cardo" w:cs="Cardo"/>
          <w:sz w:val="18"/>
          <w:szCs w:val="18"/>
        </w:rPr>
        <w:t>branch ⟶ "(" subexpression ")"</w:t>
      </w:r>
    </w:p>
    <w:p w14:paraId="00000090" w14:textId="77777777" w:rsidR="00555290" w:rsidRDefault="00EC67E9">
      <w:pPr>
        <w:rPr>
          <w:rFonts w:ascii="Source Code Pro" w:eastAsia="Source Code Pro" w:hAnsi="Source Code Pro" w:cs="Source Code Pro"/>
          <w:sz w:val="18"/>
          <w:szCs w:val="18"/>
        </w:rPr>
      </w:pPr>
      <w:r>
        <w:rPr>
          <w:rFonts w:ascii="Source Code Pro" w:eastAsia="Source Code Pro" w:hAnsi="Source Code Pro" w:cs="Source Code Pro"/>
          <w:sz w:val="18"/>
          <w:szCs w:val="18"/>
        </w:rPr>
        <w:t>subexpression</w:t>
      </w:r>
      <w:r>
        <w:rPr>
          <w:rFonts w:ascii="Cardo" w:eastAsia="Cardo" w:hAnsi="Cardo" w:cs="Cardo"/>
          <w:sz w:val="18"/>
          <w:szCs w:val="18"/>
        </w:rPr>
        <w:t xml:space="preserve"> ⟶ (subexpression branch+)? </w:t>
      </w:r>
      <w:proofErr w:type="spellStart"/>
      <w:r>
        <w:rPr>
          <w:rFonts w:ascii="Cardo" w:eastAsia="Cardo" w:hAnsi="Cardo" w:cs="Cardo"/>
          <w:sz w:val="18"/>
          <w:szCs w:val="18"/>
        </w:rPr>
        <w:t>nonreducing_chain</w:t>
      </w:r>
      <w:proofErr w:type="spellEnd"/>
    </w:p>
    <w:p w14:paraId="00000091"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nonreducing_chain</w:t>
      </w:r>
      <w:proofErr w:type="spellEnd"/>
      <w:r>
        <w:rPr>
          <w:rFonts w:ascii="Cardo" w:eastAsia="Cardo" w:hAnsi="Cardo" w:cs="Cardo"/>
          <w:sz w:val="18"/>
          <w:szCs w:val="18"/>
        </w:rPr>
        <w:t xml:space="preserve"> ⟶ </w:t>
      </w:r>
      <w:proofErr w:type="spellStart"/>
      <w:r>
        <w:rPr>
          <w:rFonts w:ascii="Cardo" w:eastAsia="Cardo" w:hAnsi="Cardo" w:cs="Cardo"/>
          <w:sz w:val="18"/>
          <w:szCs w:val="18"/>
        </w:rPr>
        <w:t>complete_SU</w:t>
      </w:r>
      <w:proofErr w:type="spellEnd"/>
      <w:r>
        <w:rPr>
          <w:rFonts w:ascii="Cardo" w:eastAsia="Cardo" w:hAnsi="Cardo" w:cs="Cardo"/>
          <w:sz w:val="18"/>
          <w:szCs w:val="18"/>
        </w:rPr>
        <w:t>+</w:t>
      </w:r>
    </w:p>
    <w:p w14:paraId="00000092" w14:textId="77777777" w:rsidR="00555290" w:rsidRDefault="00555290">
      <w:pPr>
        <w:rPr>
          <w:rFonts w:ascii="Source Code Pro" w:eastAsia="Source Code Pro" w:hAnsi="Source Code Pro" w:cs="Source Code Pro"/>
          <w:sz w:val="18"/>
          <w:szCs w:val="18"/>
          <w:shd w:val="clear" w:color="auto" w:fill="D0E0E3"/>
        </w:rPr>
      </w:pPr>
    </w:p>
    <w:p w14:paraId="00000093" w14:textId="77777777" w:rsidR="00555290" w:rsidRDefault="00EC67E9">
      <w:pPr>
        <w:rPr>
          <w:rFonts w:ascii="Source Code Pro" w:eastAsia="Source Code Pro" w:hAnsi="Source Code Pro" w:cs="Source Code Pro"/>
          <w:sz w:val="18"/>
          <w:szCs w:val="18"/>
        </w:rPr>
      </w:pPr>
      <w:proofErr w:type="spellStart"/>
      <w:r>
        <w:rPr>
          <w:rFonts w:ascii="Source Code Pro" w:eastAsia="Source Code Pro" w:hAnsi="Source Code Pro" w:cs="Source Code Pro"/>
          <w:sz w:val="18"/>
          <w:szCs w:val="18"/>
        </w:rPr>
        <w:t>complete_SU</w:t>
      </w:r>
      <w:proofErr w:type="spellEnd"/>
      <w:r>
        <w:rPr>
          <w:rFonts w:ascii="Source Code Pro" w:eastAsia="Source Code Pro" w:hAnsi="Source Code Pro" w:cs="Source Code Pro"/>
          <w:sz w:val="18"/>
          <w:szCs w:val="18"/>
        </w:rPr>
        <w:t xml:space="preserve"> </w:t>
      </w:r>
      <w:r>
        <w:rPr>
          <w:rFonts w:ascii="Cardo" w:eastAsia="Cardo" w:hAnsi="Cardo" w:cs="Cardo"/>
          <w:sz w:val="18"/>
          <w:szCs w:val="18"/>
        </w:rPr>
        <w:t>⟶ MS</w:t>
      </w:r>
      <w:r>
        <w:rPr>
          <w:rFonts w:ascii="Source Code Pro" w:eastAsia="Source Code Pro" w:hAnsi="Source Code Pro" w:cs="Source Code Pro"/>
          <w:sz w:val="18"/>
          <w:szCs w:val="18"/>
        </w:rPr>
        <w:t xml:space="preserve"> </w:t>
      </w:r>
      <w:proofErr w:type="spellStart"/>
      <w:r>
        <w:rPr>
          <w:rFonts w:ascii="Source Code Pro" w:eastAsia="Source Code Pro" w:hAnsi="Source Code Pro" w:cs="Source Code Pro"/>
          <w:sz w:val="18"/>
          <w:szCs w:val="18"/>
        </w:rPr>
        <w:t>variant_information</w:t>
      </w:r>
      <w:proofErr w:type="spellEnd"/>
      <w:r>
        <w:rPr>
          <w:rFonts w:ascii="Source Code Pro" w:eastAsia="Source Code Pro" w:hAnsi="Source Code Pro" w:cs="Source Code Pro"/>
          <w:sz w:val="18"/>
          <w:szCs w:val="18"/>
        </w:rPr>
        <w:t xml:space="preserve">? modification? </w:t>
      </w:r>
      <w:proofErr w:type="spellStart"/>
      <w:r>
        <w:rPr>
          <w:rFonts w:ascii="Source Code Pro" w:eastAsia="Source Code Pro" w:hAnsi="Source Code Pro" w:cs="Source Code Pro"/>
          <w:sz w:val="18"/>
          <w:szCs w:val="18"/>
        </w:rPr>
        <w:t>bond_anomericity</w:t>
      </w:r>
      <w:proofErr w:type="spellEnd"/>
      <w:r>
        <w:rPr>
          <w:rFonts w:ascii="Source Code Pro" w:eastAsia="Source Code Pro" w:hAnsi="Source Code Pro" w:cs="Source Code Pro"/>
          <w:sz w:val="18"/>
          <w:szCs w:val="18"/>
        </w:rPr>
        <w:t xml:space="preserve"> </w:t>
      </w:r>
      <w:proofErr w:type="spellStart"/>
      <w:r>
        <w:rPr>
          <w:rFonts w:ascii="Source Code Pro" w:eastAsia="Source Code Pro" w:hAnsi="Source Code Pro" w:cs="Source Code Pro"/>
          <w:sz w:val="18"/>
          <w:szCs w:val="18"/>
        </w:rPr>
        <w:t>bond_location</w:t>
      </w:r>
      <w:proofErr w:type="spellEnd"/>
    </w:p>
    <w:p w14:paraId="00000094" w14:textId="77777777" w:rsidR="00555290" w:rsidRDefault="00EC67E9">
      <w:pPr>
        <w:rPr>
          <w:rFonts w:ascii="Source Code Pro" w:eastAsia="Source Code Pro" w:hAnsi="Source Code Pro" w:cs="Source Code Pro"/>
          <w:sz w:val="18"/>
          <w:szCs w:val="18"/>
        </w:rPr>
      </w:pPr>
      <w:proofErr w:type="spellStart"/>
      <w:r>
        <w:rPr>
          <w:rFonts w:ascii="Source Code Pro" w:eastAsia="Source Code Pro" w:hAnsi="Source Code Pro" w:cs="Source Code Pro"/>
          <w:sz w:val="18"/>
          <w:szCs w:val="18"/>
        </w:rPr>
        <w:t>reducing_SU</w:t>
      </w:r>
      <w:proofErr w:type="spellEnd"/>
      <w:r>
        <w:rPr>
          <w:rFonts w:ascii="Source Code Pro" w:eastAsia="Source Code Pro" w:hAnsi="Source Code Pro" w:cs="Source Code Pro"/>
          <w:sz w:val="18"/>
          <w:szCs w:val="18"/>
        </w:rPr>
        <w:t xml:space="preserve"> </w:t>
      </w:r>
      <w:r>
        <w:rPr>
          <w:rFonts w:ascii="Cardo" w:eastAsia="Cardo" w:hAnsi="Cardo" w:cs="Cardo"/>
          <w:sz w:val="18"/>
          <w:szCs w:val="18"/>
        </w:rPr>
        <w:t>⟶ MS</w:t>
      </w:r>
      <w:r>
        <w:rPr>
          <w:rFonts w:ascii="Source Code Pro" w:eastAsia="Source Code Pro" w:hAnsi="Source Code Pro" w:cs="Source Code Pro"/>
          <w:sz w:val="18"/>
          <w:szCs w:val="18"/>
        </w:rPr>
        <w:t xml:space="preserve"> </w:t>
      </w:r>
      <w:proofErr w:type="spellStart"/>
      <w:r>
        <w:rPr>
          <w:rFonts w:ascii="Source Code Pro" w:eastAsia="Source Code Pro" w:hAnsi="Source Code Pro" w:cs="Source Code Pro"/>
          <w:sz w:val="18"/>
          <w:szCs w:val="18"/>
        </w:rPr>
        <w:t>variant_information</w:t>
      </w:r>
      <w:proofErr w:type="spellEnd"/>
      <w:r>
        <w:rPr>
          <w:rFonts w:ascii="Source Code Pro" w:eastAsia="Source Code Pro" w:hAnsi="Source Code Pro" w:cs="Source Code Pro"/>
          <w:sz w:val="18"/>
          <w:szCs w:val="18"/>
        </w:rPr>
        <w:t xml:space="preserve">? modification? </w:t>
      </w:r>
      <w:proofErr w:type="spellStart"/>
      <w:r>
        <w:rPr>
          <w:rFonts w:ascii="Source Code Pro" w:eastAsia="Source Code Pro" w:hAnsi="Source Code Pro" w:cs="Source Code Pro"/>
          <w:sz w:val="18"/>
          <w:szCs w:val="18"/>
        </w:rPr>
        <w:t>bond_anomericity</w:t>
      </w:r>
      <w:proofErr w:type="spellEnd"/>
      <w:r>
        <w:rPr>
          <w:rFonts w:ascii="Source Code Pro" w:eastAsia="Source Code Pro" w:hAnsi="Source Code Pro" w:cs="Source Code Pro"/>
          <w:sz w:val="18"/>
          <w:szCs w:val="18"/>
        </w:rPr>
        <w:t>?</w:t>
      </w:r>
    </w:p>
    <w:p w14:paraId="00000095" w14:textId="77777777" w:rsidR="00555290" w:rsidRDefault="00555290">
      <w:pPr>
        <w:rPr>
          <w:rFonts w:ascii="Source Code Pro" w:eastAsia="Source Code Pro" w:hAnsi="Source Code Pro" w:cs="Source Code Pro"/>
          <w:sz w:val="18"/>
          <w:szCs w:val="18"/>
        </w:rPr>
      </w:pPr>
    </w:p>
    <w:p w14:paraId="00000096"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variant_information</w:t>
      </w:r>
      <w:proofErr w:type="spellEnd"/>
      <w:r>
        <w:rPr>
          <w:rFonts w:ascii="Cardo" w:eastAsia="Cardo" w:hAnsi="Cardo" w:cs="Cardo"/>
          <w:sz w:val="18"/>
          <w:szCs w:val="18"/>
        </w:rPr>
        <w:t xml:space="preserve"> ⟶ "'" | "^" | "~"</w:t>
      </w:r>
    </w:p>
    <w:p w14:paraId="00000097" w14:textId="77777777" w:rsidR="00555290" w:rsidRDefault="00555290">
      <w:pPr>
        <w:rPr>
          <w:rFonts w:ascii="Source Code Pro" w:eastAsia="Source Code Pro" w:hAnsi="Source Code Pro" w:cs="Source Code Pro"/>
          <w:sz w:val="18"/>
          <w:szCs w:val="18"/>
        </w:rPr>
      </w:pPr>
    </w:p>
    <w:p w14:paraId="00000098" w14:textId="77777777" w:rsidR="00555290" w:rsidRDefault="00EC67E9">
      <w:pPr>
        <w:rPr>
          <w:rFonts w:ascii="Source Code Pro" w:eastAsia="Source Code Pro" w:hAnsi="Source Code Pro" w:cs="Source Code Pro"/>
          <w:sz w:val="18"/>
          <w:szCs w:val="18"/>
        </w:rPr>
      </w:pPr>
      <w:r>
        <w:rPr>
          <w:rFonts w:ascii="Cardo" w:eastAsia="Cardo" w:hAnsi="Cardo" w:cs="Cardo"/>
          <w:sz w:val="18"/>
          <w:szCs w:val="18"/>
        </w:rPr>
        <w:t xml:space="preserve">modification ⟶ "[" </w:t>
      </w:r>
      <w:proofErr w:type="spellStart"/>
      <w:r>
        <w:rPr>
          <w:rFonts w:ascii="Cardo" w:eastAsia="Cardo" w:hAnsi="Cardo" w:cs="Cardo"/>
          <w:sz w:val="18"/>
          <w:szCs w:val="18"/>
        </w:rPr>
        <w:t>bond_location</w:t>
      </w:r>
      <w:proofErr w:type="spellEnd"/>
      <w:r>
        <w:rPr>
          <w:rFonts w:ascii="Cardo" w:eastAsia="Cardo" w:hAnsi="Cardo" w:cs="Cardo"/>
          <w:sz w:val="18"/>
          <w:szCs w:val="18"/>
        </w:rPr>
        <w:t xml:space="preserve">? </w:t>
      </w:r>
      <w:proofErr w:type="spellStart"/>
      <w:r>
        <w:rPr>
          <w:rFonts w:ascii="Cardo" w:eastAsia="Cardo" w:hAnsi="Cardo" w:cs="Cardo"/>
          <w:sz w:val="18"/>
          <w:szCs w:val="18"/>
        </w:rPr>
        <w:t>non_carbohydrate_moiety</w:t>
      </w:r>
      <w:proofErr w:type="spellEnd"/>
      <w:r>
        <w:rPr>
          <w:rFonts w:ascii="Cardo" w:eastAsia="Cardo" w:hAnsi="Cardo" w:cs="Cardo"/>
          <w:sz w:val="18"/>
          <w:szCs w:val="18"/>
        </w:rPr>
        <w:t xml:space="preserve"> ("," </w:t>
      </w:r>
      <w:proofErr w:type="spellStart"/>
      <w:r>
        <w:rPr>
          <w:rFonts w:ascii="Cardo" w:eastAsia="Cardo" w:hAnsi="Cardo" w:cs="Cardo"/>
          <w:sz w:val="18"/>
          <w:szCs w:val="18"/>
        </w:rPr>
        <w:t>bond_location</w:t>
      </w:r>
      <w:proofErr w:type="spellEnd"/>
      <w:r>
        <w:rPr>
          <w:rFonts w:ascii="Cardo" w:eastAsia="Cardo" w:hAnsi="Cardo" w:cs="Cardo"/>
          <w:sz w:val="18"/>
          <w:szCs w:val="18"/>
        </w:rPr>
        <w:t xml:space="preserve"> </w:t>
      </w:r>
      <w:proofErr w:type="spellStart"/>
      <w:r>
        <w:rPr>
          <w:rFonts w:ascii="Cardo" w:eastAsia="Cardo" w:hAnsi="Cardo" w:cs="Cardo"/>
          <w:sz w:val="18"/>
          <w:szCs w:val="18"/>
        </w:rPr>
        <w:t>non_carbohydrate_</w:t>
      </w:r>
      <w:proofErr w:type="gramStart"/>
      <w:r>
        <w:rPr>
          <w:rFonts w:ascii="Cardo" w:eastAsia="Cardo" w:hAnsi="Cardo" w:cs="Cardo"/>
          <w:sz w:val="18"/>
          <w:szCs w:val="18"/>
        </w:rPr>
        <w:t>moiety</w:t>
      </w:r>
      <w:proofErr w:type="spellEnd"/>
      <w:r>
        <w:rPr>
          <w:rFonts w:ascii="Cardo" w:eastAsia="Cardo" w:hAnsi="Cardo" w:cs="Cardo"/>
          <w:sz w:val="18"/>
          <w:szCs w:val="18"/>
        </w:rPr>
        <w:t>)*</w:t>
      </w:r>
      <w:proofErr w:type="gramEnd"/>
      <w:r>
        <w:rPr>
          <w:rFonts w:ascii="Cardo" w:eastAsia="Cardo" w:hAnsi="Cardo" w:cs="Cardo"/>
          <w:sz w:val="18"/>
          <w:szCs w:val="18"/>
        </w:rPr>
        <w:t xml:space="preserve"> "]"</w:t>
      </w:r>
    </w:p>
    <w:p w14:paraId="00000099"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non_carbohydrate_moiety</w:t>
      </w:r>
      <w:proofErr w:type="spellEnd"/>
      <w:r>
        <w:rPr>
          <w:rFonts w:ascii="Cardo" w:eastAsia="Cardo" w:hAnsi="Cardo" w:cs="Cardo"/>
          <w:sz w:val="18"/>
          <w:szCs w:val="18"/>
        </w:rPr>
        <w:t xml:space="preserve"> ⟶ "Q" | "PE" | "IN" | "ME" | "N" | "T" | "P" | "PC" | "PYR" | "S" | "SH" | "EP"</w:t>
      </w:r>
    </w:p>
    <w:p w14:paraId="0000009A" w14:textId="77777777" w:rsidR="00555290" w:rsidRDefault="00555290">
      <w:pPr>
        <w:rPr>
          <w:rFonts w:ascii="Source Code Pro" w:eastAsia="Source Code Pro" w:hAnsi="Source Code Pro" w:cs="Source Code Pro"/>
          <w:sz w:val="18"/>
          <w:szCs w:val="18"/>
        </w:rPr>
      </w:pPr>
    </w:p>
    <w:p w14:paraId="0000009B"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bond_anomericity</w:t>
      </w:r>
      <w:proofErr w:type="spellEnd"/>
      <w:r>
        <w:rPr>
          <w:rFonts w:ascii="Cardo" w:eastAsia="Cardo" w:hAnsi="Cardo" w:cs="Cardo"/>
          <w:sz w:val="18"/>
          <w:szCs w:val="18"/>
        </w:rPr>
        <w:t xml:space="preserve"> ⟶ "a" | "b"</w:t>
      </w:r>
    </w:p>
    <w:p w14:paraId="0000009C"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bond_location</w:t>
      </w:r>
      <w:proofErr w:type="spellEnd"/>
      <w:r>
        <w:rPr>
          <w:rFonts w:ascii="Cardo" w:eastAsia="Cardo" w:hAnsi="Cardo" w:cs="Cardo"/>
          <w:sz w:val="18"/>
          <w:szCs w:val="18"/>
        </w:rPr>
        <w:t xml:space="preserve"> ⟶ </w:t>
      </w:r>
      <w:proofErr w:type="spellStart"/>
      <w:r>
        <w:rPr>
          <w:rFonts w:ascii="Cardo" w:eastAsia="Cardo" w:hAnsi="Cardo" w:cs="Cardo"/>
          <w:sz w:val="18"/>
          <w:szCs w:val="18"/>
        </w:rPr>
        <w:t>nonzero_digit</w:t>
      </w:r>
      <w:proofErr w:type="spellEnd"/>
    </w:p>
    <w:p w14:paraId="0000009D" w14:textId="77777777" w:rsidR="00555290" w:rsidRDefault="00555290">
      <w:pPr>
        <w:rPr>
          <w:rFonts w:ascii="Source Code Pro" w:eastAsia="Source Code Pro" w:hAnsi="Source Code Pro" w:cs="Source Code Pro"/>
          <w:sz w:val="18"/>
          <w:szCs w:val="18"/>
        </w:rPr>
      </w:pPr>
    </w:p>
    <w:p w14:paraId="0000009E" w14:textId="77777777" w:rsidR="00555290" w:rsidRDefault="00EC67E9">
      <w:pPr>
        <w:rPr>
          <w:rFonts w:ascii="Source Code Pro" w:eastAsia="Source Code Pro" w:hAnsi="Source Code Pro" w:cs="Source Code Pro"/>
          <w:sz w:val="18"/>
          <w:szCs w:val="18"/>
        </w:rPr>
      </w:pPr>
      <w:r>
        <w:rPr>
          <w:rFonts w:ascii="Cardo" w:eastAsia="Cardo" w:hAnsi="Cardo" w:cs="Cardo"/>
          <w:sz w:val="18"/>
          <w:szCs w:val="18"/>
        </w:rPr>
        <w:t>MS ⟶ "A" | "AN" | "B" | "E" | "F" | "G" | "GN" | "H" | "I" | "K" | "L" | "M" | "NG" | "NJ" | "NN" | "O" | "P" | "PH" | "R" | "S" | "U" | "W" | "X"</w:t>
      </w:r>
    </w:p>
    <w:p w14:paraId="0000009F" w14:textId="77777777" w:rsidR="00555290" w:rsidRDefault="00555290">
      <w:pPr>
        <w:rPr>
          <w:rFonts w:ascii="Source Code Pro" w:eastAsia="Source Code Pro" w:hAnsi="Source Code Pro" w:cs="Source Code Pro"/>
          <w:sz w:val="18"/>
          <w:szCs w:val="18"/>
        </w:rPr>
      </w:pPr>
    </w:p>
    <w:p w14:paraId="000000A0" w14:textId="77777777" w:rsidR="00555290" w:rsidRDefault="00EC67E9">
      <w:pPr>
        <w:rPr>
          <w:rFonts w:ascii="Source Code Pro" w:eastAsia="Source Code Pro" w:hAnsi="Source Code Pro" w:cs="Source Code Pro"/>
          <w:sz w:val="18"/>
          <w:szCs w:val="18"/>
        </w:rPr>
      </w:pPr>
      <w:proofErr w:type="spellStart"/>
      <w:r>
        <w:rPr>
          <w:rFonts w:ascii="Cardo" w:eastAsia="Cardo" w:hAnsi="Cardo" w:cs="Cardo"/>
          <w:sz w:val="18"/>
          <w:szCs w:val="18"/>
        </w:rPr>
        <w:t>nonzero_digit</w:t>
      </w:r>
      <w:proofErr w:type="spellEnd"/>
      <w:r>
        <w:rPr>
          <w:rFonts w:ascii="Cardo" w:eastAsia="Cardo" w:hAnsi="Cardo" w:cs="Cardo"/>
          <w:sz w:val="18"/>
          <w:szCs w:val="18"/>
        </w:rPr>
        <w:t xml:space="preserve"> ⟶ "1" | "2" | "3" | "4" | "5" | "6" | "7" | "8" | "9"</w:t>
      </w:r>
    </w:p>
    <w:p w14:paraId="000000A1" w14:textId="77777777" w:rsidR="00555290" w:rsidRDefault="00555290">
      <w:pPr>
        <w:rPr>
          <w:rFonts w:ascii="Source Code Pro" w:eastAsia="Source Code Pro" w:hAnsi="Source Code Pro" w:cs="Source Code Pro"/>
          <w:sz w:val="20"/>
          <w:szCs w:val="20"/>
        </w:rPr>
      </w:pPr>
    </w:p>
    <w:p w14:paraId="000000A2" w14:textId="77777777" w:rsidR="00555290" w:rsidRDefault="00EC67E9">
      <w:r>
        <w:t>Here “</w:t>
      </w:r>
      <w:r>
        <w:rPr>
          <w:rFonts w:ascii="Cardo" w:eastAsia="Cardo" w:hAnsi="Cardo" w:cs="Cardo"/>
          <w:sz w:val="20"/>
          <w:szCs w:val="20"/>
        </w:rPr>
        <w:t>⟶</w:t>
      </w:r>
      <w:r>
        <w:t>”, “</w:t>
      </w:r>
      <w:r>
        <w:rPr>
          <w:rFonts w:ascii="Source Code Pro" w:eastAsia="Source Code Pro" w:hAnsi="Source Code Pro" w:cs="Source Code Pro"/>
          <w:sz w:val="20"/>
          <w:szCs w:val="20"/>
        </w:rPr>
        <w:t>|</w:t>
      </w:r>
      <w:r>
        <w:t>”, “</w:t>
      </w:r>
      <w:r>
        <w:rPr>
          <w:rFonts w:ascii="Source Code Pro" w:eastAsia="Source Code Pro" w:hAnsi="Source Code Pro" w:cs="Source Code Pro"/>
          <w:sz w:val="20"/>
          <w:szCs w:val="20"/>
        </w:rPr>
        <w:t>(</w:t>
      </w:r>
      <w:r>
        <w:t>”, “</w:t>
      </w:r>
      <w:r>
        <w:rPr>
          <w:rFonts w:ascii="Source Code Pro" w:eastAsia="Source Code Pro" w:hAnsi="Source Code Pro" w:cs="Source Code Pro"/>
          <w:sz w:val="20"/>
          <w:szCs w:val="20"/>
        </w:rPr>
        <w:t>)</w:t>
      </w:r>
      <w:r>
        <w:t>”, “</w:t>
      </w:r>
      <w:r>
        <w:rPr>
          <w:rFonts w:ascii="Source Code Pro" w:eastAsia="Source Code Pro" w:hAnsi="Source Code Pro" w:cs="Source Code Pro"/>
          <w:sz w:val="20"/>
          <w:szCs w:val="20"/>
        </w:rPr>
        <w:t>?</w:t>
      </w:r>
      <w:r>
        <w:t>”, “</w:t>
      </w:r>
      <w:r>
        <w:rPr>
          <w:rFonts w:ascii="Source Code Pro" w:eastAsia="Source Code Pro" w:hAnsi="Source Code Pro" w:cs="Source Code Pro"/>
          <w:sz w:val="20"/>
          <w:szCs w:val="20"/>
        </w:rPr>
        <w:t>+</w:t>
      </w:r>
      <w:r>
        <w:t>”, “</w:t>
      </w:r>
      <w:r>
        <w:rPr>
          <w:rFonts w:ascii="Source Code Pro" w:eastAsia="Source Code Pro" w:hAnsi="Source Code Pro" w:cs="Source Code Pro"/>
          <w:sz w:val="20"/>
          <w:szCs w:val="20"/>
        </w:rPr>
        <w:t>*</w:t>
      </w:r>
      <w:r>
        <w:t>”, and “</w:t>
      </w:r>
      <w:r>
        <w:rPr>
          <w:rFonts w:ascii="Droid Sans Mono" w:eastAsia="Droid Sans Mono" w:hAnsi="Droid Sans Mono" w:cs="Droid Sans Mono"/>
          <w:sz w:val="20"/>
          <w:szCs w:val="20"/>
        </w:rPr>
        <w:t>λ</w:t>
      </w:r>
      <w:r>
        <w:t>”</w:t>
      </w:r>
      <w:r>
        <w:rPr>
          <w:rFonts w:ascii="Source Code Pro" w:eastAsia="Source Code Pro" w:hAnsi="Source Code Pro" w:cs="Source Code Pro"/>
          <w:sz w:val="20"/>
          <w:szCs w:val="20"/>
        </w:rPr>
        <w:t xml:space="preserve"> </w:t>
      </w:r>
      <w:r>
        <w:t xml:space="preserve">have their usual formal-language theoretic meaning (see any introductory material on formal language and automata theory) as metalinguistic symbols (“is”, “or”, parentheses indicating grouping, “zero or one”, “one or more”, “zero or more”, and the unique empty string of length 0, respectively), all terminal symbols are quoted (except for the empty string </w:t>
      </w:r>
      <w:r>
        <w:rPr>
          <w:rFonts w:ascii="Droid Sans Mono" w:eastAsia="Droid Sans Mono" w:hAnsi="Droid Sans Mono" w:cs="Droid Sans Mono"/>
          <w:sz w:val="20"/>
          <w:szCs w:val="20"/>
        </w:rPr>
        <w:t>λ</w:t>
      </w:r>
      <w:r>
        <w:t xml:space="preserve">), the choice of non-carbohydrate moiety symbols was drawn from </w:t>
      </w:r>
      <w:proofErr w:type="spellStart"/>
      <w:r>
        <w:t>Banin</w:t>
      </w:r>
      <w:proofErr w:type="spellEnd"/>
      <w:r>
        <w:t xml:space="preserve"> et al. (2002), and the choice of monosaccharide symbols was drawn from a mix of </w:t>
      </w:r>
      <w:proofErr w:type="spellStart"/>
      <w:r>
        <w:t>Banin</w:t>
      </w:r>
      <w:proofErr w:type="spellEnd"/>
      <w:r>
        <w:t xml:space="preserve"> et al. (2002) and </w:t>
      </w:r>
      <w:proofErr w:type="spellStart"/>
      <w:r>
        <w:t>Krambeck</w:t>
      </w:r>
      <w:proofErr w:type="spellEnd"/>
      <w:r>
        <w:t xml:space="preserve"> et al. (2009). Unlike the actual grammar underlying the currently implemented parser, the grammar above does not support any uncertainty operators at all - hence why the </w:t>
      </w:r>
      <w:proofErr w:type="spellStart"/>
      <w:r>
        <w:t>LiCoRR</w:t>
      </w:r>
      <w:proofErr w:type="spellEnd"/>
      <w:r>
        <w:t xml:space="preserve"> expressions it recognizes or generates only describe at most a single glycan. For simplicity of exposition, the grammar above also omits (unlike the actual grammar underlying the parser) repeated element notation. Neither the grammar above nor the currently implemented grammar support glycoconjugate notation or notation for multiple uncertain connection sites. Neither grammar enforces conventions about ordering of children or constraints about what is physically impossible - e.g. having two distinct monosaccharides bind at the same index number of a common ‘parent’ monosaccharide. Restrictions of the first kind are simply (syntactic) conventions and restrictions of the second kind are part of the </w:t>
      </w:r>
      <w:r>
        <w:rPr>
          <w:i/>
        </w:rPr>
        <w:t>denotational semantics</w:t>
      </w:r>
      <w:r>
        <w:t xml:space="preserve"> of </w:t>
      </w:r>
      <w:proofErr w:type="spellStart"/>
      <w:r>
        <w:t>LiCoRR</w:t>
      </w:r>
      <w:proofErr w:type="spellEnd"/>
      <w:r>
        <w:t xml:space="preserve"> expressions as a formal language, not the syntax.</w:t>
      </w:r>
    </w:p>
    <w:p w14:paraId="000000A3" w14:textId="77777777" w:rsidR="00555290" w:rsidRDefault="00555290"/>
    <w:p w14:paraId="000000A4" w14:textId="77777777" w:rsidR="00555290" w:rsidRDefault="00EC67E9">
      <w:r>
        <w:t xml:space="preserve">Major features for future releases include </w:t>
      </w:r>
    </w:p>
    <w:p w14:paraId="000000A5" w14:textId="77777777" w:rsidR="00555290" w:rsidRDefault="00EC67E9">
      <w:pPr>
        <w:numPr>
          <w:ilvl w:val="0"/>
          <w:numId w:val="1"/>
        </w:numPr>
      </w:pPr>
      <w:r>
        <w:t xml:space="preserve">parsing fragments of </w:t>
      </w:r>
      <w:proofErr w:type="spellStart"/>
      <w:r>
        <w:t>glycans</w:t>
      </w:r>
      <w:proofErr w:type="spellEnd"/>
      <w:r>
        <w:t xml:space="preserve"> in </w:t>
      </w:r>
      <w:proofErr w:type="spellStart"/>
      <w:r>
        <w:t>LiCoRR</w:t>
      </w:r>
      <w:proofErr w:type="spellEnd"/>
      <w:r>
        <w:t xml:space="preserve"> (e.g. recognizing ‘(Ma</w:t>
      </w:r>
      <w:proofErr w:type="gramStart"/>
      <w:r>
        <w:t>2)(</w:t>
      </w:r>
      <w:proofErr w:type="gramEnd"/>
      <w:r>
        <w:t>Ma4)’ as a sequence of subtrees whose roots are siblings),</w:t>
      </w:r>
    </w:p>
    <w:p w14:paraId="000000A6" w14:textId="77777777" w:rsidR="00555290" w:rsidRDefault="00EC67E9">
      <w:pPr>
        <w:numPr>
          <w:ilvl w:val="0"/>
          <w:numId w:val="1"/>
        </w:numPr>
      </w:pPr>
      <w:r>
        <w:t>converting between such fragments and s-expressions,</w:t>
      </w:r>
    </w:p>
    <w:p w14:paraId="000000A7" w14:textId="77777777" w:rsidR="00555290" w:rsidRDefault="00EC67E9">
      <w:pPr>
        <w:numPr>
          <w:ilvl w:val="0"/>
          <w:numId w:val="1"/>
        </w:numPr>
      </w:pPr>
      <w:r>
        <w:t>adding support for the denotational semantics of linear code and “normal forms” that enforce conventions like child ordering based on bond index,</w:t>
      </w:r>
    </w:p>
    <w:p w14:paraId="000000A8" w14:textId="77777777" w:rsidR="00555290" w:rsidRDefault="00EC67E9">
      <w:pPr>
        <w:numPr>
          <w:ilvl w:val="0"/>
          <w:numId w:val="1"/>
        </w:numPr>
      </w:pPr>
      <w:r>
        <w:t xml:space="preserve">calculating the results of applying a </w:t>
      </w:r>
      <w:proofErr w:type="spellStart"/>
      <w:r>
        <w:t>LiCoRR</w:t>
      </w:r>
      <w:proofErr w:type="spellEnd"/>
      <w:r>
        <w:t xml:space="preserve"> reaction rule to a substrate or group of substrates,</w:t>
      </w:r>
    </w:p>
    <w:p w14:paraId="000000A9" w14:textId="77777777" w:rsidR="00555290" w:rsidRDefault="00EC67E9">
      <w:pPr>
        <w:numPr>
          <w:ilvl w:val="0"/>
          <w:numId w:val="1"/>
        </w:numPr>
      </w:pPr>
      <w:r>
        <w:t>calculating the set of products of a reaction network,</w:t>
      </w:r>
    </w:p>
    <w:p w14:paraId="000000AA" w14:textId="77777777" w:rsidR="00555290" w:rsidRDefault="00EC67E9">
      <w:pPr>
        <w:numPr>
          <w:ilvl w:val="0"/>
          <w:numId w:val="1"/>
        </w:numPr>
      </w:pPr>
      <w:r>
        <w:t>given two of a substrate class, a product class, or a constraint, calculate possible values for the third,</w:t>
      </w:r>
    </w:p>
    <w:p w14:paraId="000000AB" w14:textId="77777777" w:rsidR="00555290" w:rsidRDefault="00EC67E9">
      <w:pPr>
        <w:numPr>
          <w:ilvl w:val="0"/>
          <w:numId w:val="1"/>
        </w:numPr>
      </w:pPr>
      <w:r>
        <w:t>given a set of substrates and a set of products, reduce those to a (set of) substrate class(es) and a (set of) product class(es),</w:t>
      </w:r>
    </w:p>
    <w:p w14:paraId="000000AC" w14:textId="77777777" w:rsidR="00555290" w:rsidRDefault="00EC67E9">
      <w:pPr>
        <w:numPr>
          <w:ilvl w:val="0"/>
          <w:numId w:val="1"/>
        </w:numPr>
      </w:pPr>
      <w:r>
        <w:t>given a set of substrates, a set of products, and a reaction network, infer a probability distribution over paths that would transform the substrates into the products.</w:t>
      </w:r>
    </w:p>
    <w:sectPr w:rsidR="0055529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00"/>
    <w:family w:val="auto"/>
    <w:pitch w:val="default"/>
  </w:font>
  <w:font w:name="Source Code Pro">
    <w:altName w:val="Consolas"/>
    <w:charset w:val="00"/>
    <w:family w:val="auto"/>
    <w:pitch w:val="default"/>
  </w:font>
  <w:font w:name="Cardo">
    <w:altName w:val="Calibri"/>
    <w:charset w:val="00"/>
    <w:family w:val="auto"/>
    <w:pitch w:val="default"/>
  </w:font>
  <w:font w:name="Droid Sans Mono">
    <w:altName w:val="Segoe UI"/>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F53FB"/>
    <w:multiLevelType w:val="multilevel"/>
    <w:tmpl w:val="204448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aperpile-doc-id" w:val="I854W842L532P225"/>
    <w:docVar w:name="paperpile-doc-name" w:val="52820LiCoRR supporting information.docx"/>
  </w:docVars>
  <w:rsids>
    <w:rsidRoot w:val="00555290"/>
    <w:rsid w:val="00555290"/>
    <w:rsid w:val="00881766"/>
    <w:rsid w:val="008A41FE"/>
    <w:rsid w:val="00D33C05"/>
    <w:rsid w:val="00DD702D"/>
    <w:rsid w:val="00EC67E9"/>
    <w:rsid w:val="00F912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D3506"/>
  <w15:docId w15:val="{6180494F-7622-492B-BB0F-924B0E504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Sprechblasentext">
    <w:name w:val="Balloon Text"/>
    <w:basedOn w:val="Standard"/>
    <w:link w:val="SprechblasentextZchn"/>
    <w:uiPriority w:val="99"/>
    <w:semiHidden/>
    <w:unhideWhenUsed/>
    <w:rsid w:val="00DD702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702D"/>
    <w:rPr>
      <w:rFonts w:ascii="Segoe UI" w:hAnsi="Segoe UI" w:cs="Segoe UI"/>
      <w:sz w:val="18"/>
      <w:szCs w:val="18"/>
    </w:rPr>
  </w:style>
  <w:style w:type="paragraph" w:styleId="Verzeichnis1">
    <w:name w:val="toc 1"/>
    <w:basedOn w:val="Standard"/>
    <w:next w:val="Standard"/>
    <w:autoRedefine/>
    <w:uiPriority w:val="39"/>
    <w:unhideWhenUsed/>
    <w:rsid w:val="00881766"/>
    <w:pPr>
      <w:spacing w:after="100"/>
    </w:pPr>
  </w:style>
  <w:style w:type="paragraph" w:styleId="Verzeichnis2">
    <w:name w:val="toc 2"/>
    <w:basedOn w:val="Standard"/>
    <w:next w:val="Standard"/>
    <w:autoRedefine/>
    <w:uiPriority w:val="39"/>
    <w:unhideWhenUsed/>
    <w:rsid w:val="00881766"/>
    <w:pPr>
      <w:spacing w:after="100"/>
      <w:ind w:left="220"/>
    </w:pPr>
  </w:style>
  <w:style w:type="character" w:styleId="Hyperlink">
    <w:name w:val="Hyperlink"/>
    <w:basedOn w:val="Absatz-Standardschriftart"/>
    <w:uiPriority w:val="99"/>
    <w:unhideWhenUsed/>
    <w:rsid w:val="008817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emeinhardt/grege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2378</Words>
  <Characters>13557</Characters>
  <Application>Microsoft Office Word</Application>
  <DocSecurity>0</DocSecurity>
  <Lines>112</Lines>
  <Paragraphs>31</Paragraphs>
  <ScaleCrop>false</ScaleCrop>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Pabst, Claudia</cp:lastModifiedBy>
  <cp:revision>7</cp:revision>
  <dcterms:created xsi:type="dcterms:W3CDTF">2020-05-28T20:27:00Z</dcterms:created>
  <dcterms:modified xsi:type="dcterms:W3CDTF">2020-09-17T06:11:00Z</dcterms:modified>
</cp:coreProperties>
</file>